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1d039d849bf9073ebc3b5eced35328ddb9f38"/>
    <w:p>
      <w:pPr>
        <w:pStyle w:val="Heading3"/>
      </w:pPr>
      <w:r>
        <w:t xml:space="preserve">Росгвардия обеспечила правопорядок на спортивных и религиозных мероприятиях в Москве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Сотрудники ОМОН «Авангард» патрулировали территории вблизи проведения религиозных и спортивных мероприятий.</w:t>
      </w:r>
    </w:p>
    <w:p>
      <w:pPr>
        <w:pStyle w:val="BodyText"/>
      </w:pPr>
      <w:r>
        <w:t xml:space="preserve">Экипажи вневедомственной охраны столичного главка Росгвардии обеспечивали безопасность в районах, прилегающих к маршрутам забега и фестиваля, а также в местах скопления верующих.</w:t>
      </w:r>
    </w:p>
    <w:p>
      <w:pPr>
        <w:pStyle w:val="BodyText"/>
      </w:pPr>
      <w:r>
        <w:t xml:space="preserve">Мероприятия, которые посетило более 110 тысяч граждан, прошли без серьёзных нарушений общественного 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2025-06-18T06:52:58Z</dcterms:created>
  <dcterms:modified xsi:type="dcterms:W3CDTF">2025-06-18T06:52:58Z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