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dc127aeb4eb081b313b1af31be52dd769fd19"/>
    <w:p>
      <w:pPr>
        <w:pStyle w:val="Heading3"/>
      </w:pPr>
      <w:r>
        <w:t xml:space="preserve">Спецназ Росгвардии завершил полевой выход на полигоне в Подмосковье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Сотрудники СОБР Главного управления Росгвардии по городу Москве провели занятия на полигоне Московской области.</w:t>
      </w:r>
    </w:p>
    <w:p>
      <w:pPr>
        <w:pStyle w:val="BodyText"/>
      </w:pPr>
      <w:r>
        <w:t xml:space="preserve">Главной задачей тактико-специальных занятий являлась проверка теоретических знаний и совершенствование практических навыков личного состава в обнаружении, блокировании и нейтрализации диверсионной группы условного противника.</w:t>
      </w:r>
    </w:p>
    <w:p>
      <w:pPr>
        <w:pStyle w:val="BodyText"/>
      </w:pPr>
      <w:r>
        <w:t xml:space="preserve">В течение двух суток спецназовцы осуществляли поиск диверсионно-разведывательной группы, скрывающейся на пересечённой местности в лесном массиве. После успешного обнаружения условных диверсантов бойцы провели их блокирование и ликвидацию.</w:t>
      </w:r>
    </w:p>
    <w:p>
      <w:pPr>
        <w:pStyle w:val="BodyText"/>
      </w:pPr>
      <w:r>
        <w:t xml:space="preserve">Кроме того, росгвардейцы совершили марш-бросок протяжённостью более 25 километров, что стало дополнительной проверкой выносливости и боевой готовности личного состава.</w:t>
      </w:r>
    </w:p>
    <w:p>
      <w:pPr>
        <w:pStyle w:val="BodyText"/>
      </w:pPr>
      <w:r>
        <w:t xml:space="preserve">В программу учений также была включена инженерная и топографическая подготовка. Сотрудники спецподразделения совершенствовали навыки ориентирования на местности как по карте, так и без неё.</w:t>
      </w:r>
    </w:p>
    <w:p>
      <w:pPr>
        <w:pStyle w:val="BodyText"/>
      </w:pPr>
      <w:r>
        <w:t xml:space="preserve">В рамках занятий были проведены тактические стрельбы в составе малых групп пулемётных расчётов и снайперских пар, что способствовало отработке слаженного взаимодействия между подразделениями и повышению уровня огневой подготовки.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http://kosino-uhtomski.mos.ru/your-safety-and-security/novosti-rosgvardii/detail/13029833.html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29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2025-06-18T06:53:24Z</dcterms:created>
  <dcterms:modified xsi:type="dcterms:W3CDTF">2025-06-18T06:53:24Z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