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e542899259fe0797c9fd6239aa3a5576fc079"/>
    <w:p>
      <w:pPr>
        <w:pStyle w:val="Heading3"/>
      </w:pPr>
      <w:r>
        <w:t xml:space="preserve">Столичные спецназовцы почтили память ликвидаторов Чернобыльской катастрофы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Сотрудники ОМОН «Авангард» и СОБР Главного управления Росгвардии по городу Москве в День участников ликвидаций последствий радиационных аварий и катастроф и памяти жертв этих аварий и катастроф приняли участие в памятных мероприятиях.</w:t>
      </w:r>
    </w:p>
    <w:p>
      <w:pPr>
        <w:pStyle w:val="BodyText"/>
      </w:pPr>
      <w:r>
        <w:t xml:space="preserve">Росгвардейцы возложили цветы к памятникам «Ликвидаторам аварии на Чернобыльской АЭС» на Поклонной горе и на Митинском кладбище</w:t>
      </w:r>
    </w:p>
    <w:p>
      <w:pPr>
        <w:pStyle w:val="BodyText"/>
      </w:pPr>
      <w:r>
        <w:t xml:space="preserve">В знак глубокого уважения и признательности участники церемоний почтили память погибших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http://kosino-uhtomski.mos.ru/your-safety-and-security/novosti-rosgvardii/detail/12939985.html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2025-04-30T04:55:50Z</dcterms:created>
  <dcterms:modified xsi:type="dcterms:W3CDTF">2025-04-30T04:55:50Z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