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f6ca1d0fab9728cd3446e852c1ed7f3ebcdf1"/>
    <w:p>
      <w:pPr>
        <w:pStyle w:val="Heading3"/>
      </w:pPr>
      <w:r>
        <w:t xml:space="preserve">За минувшую неделю личным составом Главного управления Росгвардии по городу Москве обеспечена безопасность около 300 массовых мероприятий.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Подразделения специального назначения выполнили свыше 40 задач по силовому сопровождению специальных мероприятий.</w:t>
      </w:r>
    </w:p>
    <w:p>
      <w:pPr>
        <w:pStyle w:val="BodyText"/>
      </w:pPr>
      <w:r>
        <w:t xml:space="preserve">Свыше 4 тысяч выездов по сигналу «тревога» совершили сотрудники вневедомственной охраны за прошедшую неделю.</w:t>
      </w:r>
    </w:p>
    <w:p>
      <w:pPr>
        <w:pStyle w:val="BodyText"/>
      </w:pPr>
      <w:r>
        <w:t xml:space="preserve">Порядка 1,5 тысяч граждан было задержано по подозрению в совершении преступлений и нарушении административного законодательства.</w:t>
      </w:r>
    </w:p>
    <w:p>
      <w:pPr>
        <w:pStyle w:val="BodyText"/>
      </w:pPr>
      <w:r>
        <w:t xml:space="preserve">Сотрудники подразделений, отвечающих за лицензионно-разрешительную работу, провели более 4,5 тысяч проверок обеспечения сохранности оружия по месту жительства граждан и юридических лиц.</w:t>
      </w:r>
    </w:p>
    <w:p>
      <w:pPr>
        <w:pStyle w:val="BodyText"/>
      </w:pPr>
      <w:r>
        <w:t xml:space="preserve">Около 3,5 тысяч государственных услуг в сфере оборота гражданского оружия и охранной деятельности предоставил столичный главк Росгвардии за прошедшую неделю.</w:t>
      </w:r>
    </w:p>
    <w:p>
      <w:pPr>
        <w:pStyle w:val="BodyText"/>
      </w:pPr>
      <w:r>
        <w:t xml:space="preserve">Более 5 тысяч боеприпасов и свыше 300 единиц оружия были изъяты из незаконного оборота.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2025-04-30T04:55:48Z</dcterms:created>
  <dcterms:modified xsi:type="dcterms:W3CDTF">2025-04-30T04:55:48Z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