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b75904e836c697671c06498102a2136519b99"/>
    <w:p>
      <w:pPr>
        <w:pStyle w:val="Heading3"/>
      </w:pPr>
      <w:r>
        <w:t xml:space="preserve">Росгвардия обеспечила безопасность матча КХЛ в Москве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полицией обеспечили правопорядок во время подготовки и проведения шестого матча 1/4 финала Кубка Гагарина между хоккейными клубами «Спартак» (Москва) - «Салават Юлаев» (Уфа).</w:t>
      </w:r>
    </w:p>
    <w:p>
      <w:pPr>
        <w:pStyle w:val="BodyText"/>
      </w:pPr>
      <w:r>
        <w:t xml:space="preserve">Перед началом матча специалисты инженерно-технических групп ОМОН «Авангард» провели обследование прилегающей к стадиону территории на предмет выявления взрывоопасных предметов. В целях безопасности и предотвращения конфликтов, сотрудники спецподразделения создали коридоры безопасности и разделили потоки болельщиков разных команд.</w:t>
      </w:r>
    </w:p>
    <w:p>
      <w:pPr>
        <w:pStyle w:val="BodyText"/>
      </w:pPr>
      <w:r>
        <w:t xml:space="preserve">Сотрудники ОМОН «Меч» на транспорте обеспечивали правопорядок во время прибытия и убытия болельщиков на станциях МЦК.</w:t>
      </w:r>
    </w:p>
    <w:p>
      <w:pPr>
        <w:pStyle w:val="BodyText"/>
      </w:pPr>
      <w:r>
        <w:t xml:space="preserve">Экипажи вневедомственной охраны были задействованы в охране общественного порядка на территории вблизи спортивных арен.</w:t>
      </w:r>
    </w:p>
    <w:p>
      <w:pPr>
        <w:pStyle w:val="BodyText"/>
      </w:pPr>
      <w:r>
        <w:t xml:space="preserve">Хоккейный матч, который посетило более 9 тысяч человек, прошёл без серьёзных нарушений правопорядка. Игра закончилась со счетом 1-2 в пользу гостей.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http://kosino-uhtomski.mos.ru/your-safety-and-security/novosti-rosgvardii/detail/12932870.html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2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2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2025-05-15T16:38:24Z</dcterms:created>
  <dcterms:modified xsi:type="dcterms:W3CDTF">2025-05-15T16:38:24Z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