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977a3931e01bb08699d2bf8919141d88fb1ea1"/>
    <w:p>
      <w:pPr>
        <w:pStyle w:val="Heading3"/>
      </w:pPr>
      <w:r>
        <w:t xml:space="preserve">Кадастровая палата приняла участие в итоговом заседании коллегии Управления Росреестра по Москве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rPr>
          <w:bCs/>
          <w:b/>
        </w:rPr>
        <w:t xml:space="preserve">3 марта 2021 года под председательством руководителя Управления Росреестра по Москве Игоря Майданова и при участии Кадастровой палаты по Москве состоялось заседание ведомственной коллегии по подведению итогов работы учреждений за 2020 год. В целях соблюдения мер по предупреждению распространения коронавирусной инфекции мероприятие проходило в формате видеоконференцсвязи.</w:t>
      </w:r>
    </w:p>
    <w:p>
      <w:pPr>
        <w:pStyle w:val="BodyText"/>
      </w:pPr>
      <w:r>
        <w:t xml:space="preserve">В заседании приняли участие заместители руководителя Управления Росреестра по Москве Александр Левченков, Мария Макарова, Евгений Дмитриев, Сергей Исмунц, Виталий Матевосян, Елена Юрова, а также начальники структурных подразделений ведомства.</w:t>
      </w:r>
    </w:p>
    <w:p>
      <w:pPr>
        <w:pStyle w:val="BodyText"/>
      </w:pPr>
      <w:r>
        <w:t xml:space="preserve">В рамках мероприятия 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представила доклад, посвященный итогам работы Кадастровой палаты по Москве за 2020 год.</w:t>
      </w:r>
    </w:p>
    <w:p>
      <w:pPr>
        <w:pStyle w:val="BodyText"/>
      </w:pPr>
      <w:r>
        <w:t xml:space="preserve">Во время выступления она рассказала о проводимых учреждением мероприятиях, направленных на обеспечение высокого качества и доступности оказания гражданам государственных услуг Росреестра, создание комфортных условий их предоставления, а также на развитие цифровизации деятельности.</w:t>
      </w:r>
    </w:p>
    <w:p>
      <w:pPr>
        <w:pStyle w:val="BodyText"/>
      </w:pPr>
      <w:r>
        <w:rPr>
          <w:iCs/>
          <w:i/>
        </w:rPr>
        <w:t xml:space="preserve">«В минувшем году мы завершили масштабную работу по переходу на новую информационную систему ФГИС ЕГРН. Совместными усилиями наших сотрудников и коллег из Управления Росреестра по Москве был обеспечен плавный и непрерывный процесс перехода на новую систему, без остановки процедур учета и регистрации столичной недвижимости»,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Также она отметила особую значимость электронных услуг в современном обществе и их повышенную востребованность в 2020 году: «</w:t>
      </w:r>
      <w:r>
        <w:rPr>
          <w:iCs/>
          <w:i/>
        </w:rPr>
        <w:t xml:space="preserve">В условиях ограничений в связи с распространением коронавирусной инфекции ключевую роль сыграли наши дистанционные сервисы, с помощью которых граждане</w:t>
      </w:r>
      <w:r>
        <w:rPr>
          <w:iCs/>
          <w:i/>
        </w:rPr>
        <w:t xml:space="preserve"> </w:t>
      </w:r>
      <w:r>
        <w:rPr>
          <w:iCs/>
          <w:i/>
        </w:rPr>
        <w:t xml:space="preserve">не выходя из дома</w:t>
      </w:r>
      <w:r>
        <w:t xml:space="preserve"> </w:t>
      </w:r>
      <w:hyperlink r:id="rId20">
        <w:r>
          <w:rPr>
            <w:rStyle w:val="Hyperlink"/>
          </w:rPr>
          <w:t xml:space="preserve">[ДАИ1]</w:t>
        </w:r>
      </w:hyperlink>
      <w:r>
        <w:t xml:space="preserve"> </w:t>
      </w:r>
      <w:r>
        <w:rPr>
          <w:iCs/>
          <w:i/>
        </w:rPr>
        <w:t xml:space="preserve">смогли получить необходимые услуги. Так, Кадастровой палатой по Москве в 2020 году предоставлено свыше 5 млн сведений из ЕГРН, при этом доля электронных запросов составила 90%, что соответствует поставленной перед учреждением задаче по цифровизации государственных услуг».</w:t>
      </w:r>
    </w:p>
    <w:p>
      <w:pPr>
        <w:pStyle w:val="BodyText"/>
      </w:pPr>
      <w:r>
        <w:t xml:space="preserve">Не обошли стороной и оказываемые учреждением услуги по экстерриториальному принципу, благодаря которым россияне могут</w:t>
      </w:r>
      <w:r>
        <w:t xml:space="preserve"> </w:t>
      </w:r>
      <w:r>
        <w:t xml:space="preserve">не пересекая границ регионов</w:t>
      </w:r>
      <w:r>
        <w:t xml:space="preserve"> </w:t>
      </w:r>
      <w:hyperlink r:id="rId21">
        <w:r>
          <w:rPr>
            <w:rStyle w:val="Hyperlink"/>
          </w:rPr>
          <w:t xml:space="preserve">[ДАИ2]</w:t>
        </w:r>
      </w:hyperlink>
      <w:r>
        <w:t xml:space="preserve"> </w:t>
      </w:r>
      <w:r>
        <w:t xml:space="preserve">становиться полноправными собственниками домов, квартир, земельных участков, расположенных в любом месте страны.</w:t>
      </w:r>
    </w:p>
    <w:p>
      <w:pPr>
        <w:pStyle w:val="BodyText"/>
      </w:pPr>
      <w:r>
        <w:rPr>
          <w:iCs/>
          <w:i/>
        </w:rPr>
        <w:t xml:space="preserve">«Экстерриториальный принцип подачи документов позволяет гражданам существенно сократить временные и материальные затраты на проведение учетно-регистрационных действий с недвижимостью. За 2020 год Кадастровая палата по Москве приняла более 45 тыс. заявлений на проведение учётно-регистрационных действий на объекты недвижимости, расположенные в других субъектах РФ»,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Елена Спиридонова</w:t>
      </w:r>
    </w:p>
    <w:p>
      <w:pPr>
        <w:pStyle w:val="BodyText"/>
      </w:pPr>
      <w:r>
        <w:t xml:space="preserve">Кроме того, за отчетный период Кадастровой палатой по Москве совместно с Управлением Росреестра по Москве поставлены на кадастровый учет более 7,2 тыс. социально-значимых объектов и важных проектов города Москвы. В минувшем году были проведены учетно-регистрационные действия в отношении объектов Московского метрополитена и транспортной инфраструктуры города; жилых домов, построенных по программе Реновации жилого фонда Москвы; детских садов и школ; спортивных объектов и многих других значимых проектов столицы.</w:t>
      </w:r>
    </w:p>
    <w:p>
      <w:pPr>
        <w:pStyle w:val="BodyText"/>
      </w:pPr>
      <w:r>
        <w:t xml:space="preserve">В завершении доклада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отметила, что 2020 год был юбилейным для учреждения.</w:t>
      </w:r>
      <w:r>
        <w:t xml:space="preserve"> </w:t>
      </w:r>
      <w:r>
        <w:rPr>
          <w:iCs/>
          <w:i/>
        </w:rPr>
        <w:t xml:space="preserve">«В рамках празднования 20-летия мы смогли подобрать подходящий момент для посещения выставок, музеев, экскурсий и проведения других мероприятий, еще больше укрепляющих наш коллектив,</w:t>
      </w:r>
      <w:r>
        <w:t xml:space="preserve"> </w:t>
      </w:r>
      <w:r>
        <w:t xml:space="preserve">– добавила она. –</w:t>
      </w:r>
      <w:r>
        <w:t xml:space="preserve"> </w:t>
      </w:r>
      <w:r>
        <w:rPr>
          <w:iCs/>
          <w:i/>
        </w:rPr>
        <w:t xml:space="preserve">Активную позицию также проявил и Молодежный совет, который провел ряд благотворительных и экологических акций».</w:t>
      </w:r>
    </w:p>
    <w:p>
      <w:pPr>
        <w:pStyle w:val="BodyText"/>
      </w:pPr>
      <w:r>
        <w:t xml:space="preserve">Подводя итоги работы учреждения, директор отметила:</w:t>
      </w:r>
      <w:r>
        <w:t xml:space="preserve"> </w:t>
      </w:r>
      <w:r>
        <w:rPr>
          <w:iCs/>
          <w:i/>
        </w:rPr>
        <w:t xml:space="preserve">«За 20 лет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учётная система прошла непростой путь к созданию Единого государственного реестра недвижимости, эффективно обеспечивающего гарантии прав граждан и юридических лиц. За счет внедрения цифровых технологий процесс получения государственных услуг в сфере учета недвижимости стал качественнее и доступнее для граждан, а сроки оказания услуг сократились более чем в пять раз».</w:t>
      </w:r>
    </w:p>
    <w:p>
      <w:pPr>
        <w:pStyle w:val="BodyText"/>
      </w:pPr>
      <w:r>
        <w:t xml:space="preserve">В 2021 году учреждение планирует продолжать активную деятельность по совершенствованию способов коммуникации с потребителями, а также по оптимизации механизма предоставления сведений из ЕГРН. Кроме того, Кадастровой палате по Москве предстоит масштабная работа по развитию цифровых сервисов, что станет существенным вкладом в формирование единой информационной среды города.</w:t>
      </w:r>
    </w:p>
    <w:p>
      <w:pPr>
        <w:pStyle w:val="BodyText"/>
      </w:pPr>
      <w:r>
        <w:t xml:space="preserve">После выступления руководитель Столичного управления Росреестра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поблагодарил руководство и сотрудников Кадастровой палаты по Москве за плодотворную работу и достигнутые результаты, а также особо отметил проводимые мероприятия, направленные на эффективное взаимодействие между ведомствами.</w:t>
      </w:r>
    </w:p>
    <w:p>
      <w:pPr>
        <w:pStyle w:val="BodyText"/>
      </w:pPr>
      <w:r>
        <w:t xml:space="preserve">По итогам заседания участники коллегии определили задачи на текущий год и обсудили способы дальнейшего повышения эффективности деятельности органов кадастрового учета и регистрации прав в 2021 году.</w:t>
      </w:r>
    </w:p>
    <w:p>
      <w:r>
        <w:pict>
          <v:rect style="width:0;height:1.5pt" o:hralign="center" o:hrstd="t" o:hr="t"/>
        </w:pict>
      </w:r>
    </w:p>
    <w:bookmarkStart w:id="24" w:name="Xf2735caedf43226463774fa9745b84bd89e0daa"/>
    <w:p>
      <w:pPr>
        <w:pStyle w:val="FirstParagraph"/>
      </w:pPr>
      <w:bookmarkStart w:id="22" w:name="Xd8c3846978d47bdf5af6a8f09caf94b87f551a5"/>
      <w:bookmarkEnd w:id="22"/>
    </w:p>
    <w:p>
      <w:pPr>
        <w:pStyle w:val="BodyText"/>
      </w:pPr>
      <w:hyperlink r:id="rId23">
        <w:r>
          <w:rPr>
            <w:rStyle w:val="Hyperlink"/>
          </w:rPr>
          <w:t xml:space="preserve">[ДАИ1]</w:t>
        </w:r>
      </w:hyperlink>
      <w:r>
        <w:t xml:space="preserve">Запятая не требуется, если оборот "не выходя из дома" употребляется не в глагольном значении, а в значении наречия "дома" ("дома вы можете получить услуги...").</w:t>
      </w:r>
    </w:p>
    <w:bookmarkEnd w:id="24"/>
    <w:bookmarkStart w:id="27" w:name="X6e1aaad8759cdd20f0d41cb3a9c00939824797c"/>
    <w:p>
      <w:pPr>
        <w:pStyle w:val="BodyText"/>
      </w:pPr>
      <w:bookmarkStart w:id="25" w:name="X8399f62e9d7f114b86a09bf8b19c27794216230"/>
      <w:bookmarkEnd w:id="25"/>
    </w:p>
    <w:p>
      <w:pPr>
        <w:pStyle w:val="BodyText"/>
      </w:pPr>
      <w:hyperlink r:id="rId26">
        <w:r>
          <w:rPr>
            <w:rStyle w:val="Hyperlink"/>
          </w:rPr>
          <w:t xml:space="preserve">[ДАИ2]</w:t>
        </w:r>
      </w:hyperlink>
      <w:r>
        <w:t xml:space="preserve">Аналогично с оборотом «не выходя из дома»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http://kosino-uhtomski.mos.ru/will-rosiest/detail/9801852.html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file:///C:/Users/Gorkatov/Downloads/%D0%9E%D0%B1%20%D1%83%D1%87%D0%B0%D1%81%D1%82%D0%B8%D0%B8%20%D0%B2%20%D0%B8%D1%82%D0%BE%D0%B3%D0%BE%D0%B2%D0%BE%D0%B9%20%D0%BA%D0%BE%D0%BB%D0%BB%D0%B5%D0%B3%D0%B8%D0%B8%20%D0%A0%D0%BE%D1%81%D1%80%D0%B5%D0%B5%D1%81%D1%82%D1%80%D0%B0_%D0%A4%D0%93%D0%91%D0%A3.docx#_msoanchor_1" TargetMode="External" /><Relationship Type="http://schemas.openxmlformats.org/officeDocument/2006/relationships/hyperlink" Id="rId26" Target="file:///C:/Users/Gorkatov/Downloads/%D0%9E%D0%B1%20%D1%83%D1%87%D0%B0%D1%81%D1%82%D0%B8%D0%B8%20%D0%B2%20%D0%B8%D1%82%D0%BE%D0%B3%D0%BE%D0%B2%D0%BE%D0%B9%20%D0%BA%D0%BE%D0%BB%D0%BB%D0%B5%D0%B3%D0%B8%D0%B8%20%D0%A0%D0%BE%D1%81%D1%80%D0%B5%D0%B5%D1%81%D1%82%D1%80%D0%B0_%D0%A4%D0%93%D0%91%D0%A3.docx#_msoanchor_2" TargetMode="External" /><Relationship Type="http://schemas.openxmlformats.org/officeDocument/2006/relationships/hyperlink" Id="rId20" Target="file:///C:/Users/Gorkatov/Downloads/%D0%9E%D0%B1%20%D1%83%D1%87%D0%B0%D1%81%D1%82%D0%B8%D0%B8%20%D0%B2%20%D0%B8%D1%82%D0%BE%D0%B3%D0%BE%D0%B2%D0%BE%D0%B9%20%D0%BA%D0%BE%D0%BB%D0%BB%D0%B5%D0%B3%D0%B8%D0%B8%20%D0%A0%D0%BE%D1%81%D1%80%D0%B5%D0%B5%D1%81%D1%82%D1%80%D0%B0_%D0%A4%D0%93%D0%91%D0%A3.docx#_msocom_1" TargetMode="External" /><Relationship Type="http://schemas.openxmlformats.org/officeDocument/2006/relationships/hyperlink" Id="rId21" Target="file:///C:/Users/Gorkatov/Downloads/%D0%9E%D0%B1%20%D1%83%D1%87%D0%B0%D1%81%D1%82%D0%B8%D0%B8%20%D0%B2%20%D0%B8%D1%82%D0%BE%D0%B3%D0%BE%D0%B2%D0%BE%D0%B9%20%D0%BA%D0%BE%D0%BB%D0%BB%D0%B5%D0%B3%D0%B8%D0%B8%20%D0%A0%D0%BE%D1%81%D1%80%D0%B5%D0%B5%D1%81%D1%82%D1%80%D0%B0_%D0%A4%D0%93%D0%91%D0%A3.docx#_msocom_2" TargetMode="External" /><Relationship Type="http://schemas.openxmlformats.org/officeDocument/2006/relationships/hyperlink" Id="rId29" Target="http://kosino-uhtomski.mos.ru" TargetMode="External" /><Relationship Type="http://schemas.openxmlformats.org/officeDocument/2006/relationships/hyperlink" Id="rId28" Target="http://kosino-uhtomski.mos.ru/will-rosiest/detail/9801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file:///C:/Users/Gorkatov/Downloads/%D0%9E%D0%B1%20%D1%83%D1%87%D0%B0%D1%81%D1%82%D0%B8%D0%B8%20%D0%B2%20%D0%B8%D1%82%D0%BE%D0%B3%D0%BE%D0%B2%D0%BE%D0%B9%20%D0%BA%D0%BE%D0%BB%D0%BB%D0%B5%D0%B3%D0%B8%D0%B8%20%D0%A0%D0%BE%D1%81%D1%80%D0%B5%D0%B5%D1%81%D1%82%D1%80%D0%B0_%D0%A4%D0%93%D0%91%D0%A3.docx#_msoanchor_1" TargetMode="External" /><Relationship Type="http://schemas.openxmlformats.org/officeDocument/2006/relationships/hyperlink" Id="rId26" Target="file:///C:/Users/Gorkatov/Downloads/%D0%9E%D0%B1%20%D1%83%D1%87%D0%B0%D1%81%D1%82%D0%B8%D0%B8%20%D0%B2%20%D0%B8%D1%82%D0%BE%D0%B3%D0%BE%D0%B2%D0%BE%D0%B9%20%D0%BA%D0%BE%D0%BB%D0%BB%D0%B5%D0%B3%D0%B8%D0%B8%20%D0%A0%D0%BE%D1%81%D1%80%D0%B5%D0%B5%D1%81%D1%82%D1%80%D0%B0_%D0%A4%D0%93%D0%91%D0%A3.docx#_msoanchor_2" TargetMode="External" /><Relationship Type="http://schemas.openxmlformats.org/officeDocument/2006/relationships/hyperlink" Id="rId20" Target="file:///C:/Users/Gorkatov/Downloads/%D0%9E%D0%B1%20%D1%83%D1%87%D0%B0%D1%81%D1%82%D0%B8%D0%B8%20%D0%B2%20%D0%B8%D1%82%D0%BE%D0%B3%D0%BE%D0%B2%D0%BE%D0%B9%20%D0%BA%D0%BE%D0%BB%D0%BB%D0%B5%D0%B3%D0%B8%D0%B8%20%D0%A0%D0%BE%D1%81%D1%80%D0%B5%D0%B5%D1%81%D1%82%D1%80%D0%B0_%D0%A4%D0%93%D0%91%D0%A3.docx#_msocom_1" TargetMode="External" /><Relationship Type="http://schemas.openxmlformats.org/officeDocument/2006/relationships/hyperlink" Id="rId21" Target="file:///C:/Users/Gorkatov/Downloads/%D0%9E%D0%B1%20%D1%83%D1%87%D0%B0%D1%81%D1%82%D0%B8%D0%B8%20%D0%B2%20%D0%B8%D1%82%D0%BE%D0%B3%D0%BE%D0%B2%D0%BE%D0%B9%20%D0%BA%D0%BE%D0%BB%D0%BB%D0%B5%D0%B3%D0%B8%D0%B8%20%D0%A0%D0%BE%D1%81%D1%80%D0%B5%D0%B5%D1%81%D1%82%D1%80%D0%B0_%D0%A4%D0%93%D0%91%D0%A3.docx#_msocom_2" TargetMode="External" /><Relationship Type="http://schemas.openxmlformats.org/officeDocument/2006/relationships/hyperlink" Id="rId29" Target="http://kosino-uhtomski.mos.ru" TargetMode="External" /><Relationship Type="http://schemas.openxmlformats.org/officeDocument/2006/relationships/hyperlink" Id="rId28" Target="http://kosino-uhtomski.mos.ru/will-rosiest/detail/9801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2025-02-25T09:14:08Z</dcterms:created>
  <dcterms:modified xsi:type="dcterms:W3CDTF">2025-02-25T09:14:08Z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