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7bf339de10d6f95c83ff823a876d6417ed991"/>
    <w:p>
      <w:pPr>
        <w:pStyle w:val="Heading3"/>
      </w:pPr>
      <w:r>
        <w:t xml:space="preserve">Эксперты Кадастровой палаты по Москве рассказали о результатах оформления недвижимости по экстерриториальному принципу в столице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  <w:r>
        <w:rPr>
          <w:bCs/>
          <w:b/>
        </w:rPr>
        <w:t xml:space="preserve">Более 45 тысяч заявлений о кадастровом учете и регистрации прав на недвижимое имущество приняла Кадастровая палата по Москве по экстерриториальному принципу в минувшем году. Общее количество принятых учреждением заявлений по экстерриториальному принципу за все время существования услуги превысило 225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 не пересекая границ регионов, становиться полноправными собственниками домов, квартир, земельных участков, расположенных в любом месте страны»,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возможность оформлять недвижимость экстерриториально появилась у россиян в 2017 году со вступлением в силу Федерального закона от 13.07.2015</w:t>
      </w:r>
      <w:r>
        <w:br/>
      </w:r>
      <w:r>
        <w:t xml:space="preserve">№ 218-ФЗ «О государственной регистрации недвижимости».</w:t>
      </w:r>
    </w:p>
    <w:p>
      <w:pPr>
        <w:pStyle w:val="BodyText"/>
      </w:pPr>
      <w:r>
        <w:t xml:space="preserve">Популярность формата услуги объясняется тем, что очень удобен и экономичен. С помощью такой услуги оформить недвижимость на расстоянии не составляет труда. Экстерриториальный принцип оказания услуг позволяет обратиться за постановкой на кадастровый учет и регистрацией прав в офис приема-выдачи документов независимо от месторасположения регистрируемого объекта недвижимости. К примеру, житель Краснодара может оформить права на квартиру, расположенную в Хабаровске, не выезжая для этого за пределы своего региона. Для этого достаточно подать соответствующие документы в территориальный филиал Федеральной кадастровой палаты.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подать документы по экстерриториальному принципу можно в офисах Кадастровой палаты по Москве по</w:t>
      </w:r>
      <w:r>
        <w:t xml:space="preserve"> </w:t>
      </w:r>
      <w:hyperlink r:id="rId20">
        <w:r>
          <w:rPr>
            <w:rStyle w:val="Hyperlink"/>
          </w:rPr>
          <w:t xml:space="preserve">предварительной записи</w:t>
        </w:r>
      </w:hyperlink>
      <w:r>
        <w:t xml:space="preserve">. Она открыта в личном кабинете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Росреестра. Для авторизации используется учетная запись единого портала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http://kosino-uhtomski.mos.ru/will-rosiest/detail/9742493.html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9742493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9742493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2025-02-25T09:33:18Z</dcterms:created>
  <dcterms:modified xsi:type="dcterms:W3CDTF">2025-02-25T09:33:18Z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