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9c716843886254ac1339ae6ddf10b1af14577"/>
    <w:p>
      <w:pPr>
        <w:pStyle w:val="Heading3"/>
      </w:pPr>
      <w:r>
        <w:t xml:space="preserve">Образовательный центр в Гольяново поставлен на кадастровый учет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центр в районе Гольяново.</w:t>
      </w:r>
    </w:p>
    <w:p>
      <w:pPr>
        <w:pStyle w:val="BodyText"/>
      </w:pPr>
      <w:r>
        <w:t xml:space="preserve">Новое здание площадью более 5,5 тысяч квадратных метров входит в состав жилого комплекса «Level Амурская» и располагается по адресу: г. Москва, ул. Амурская, д. 1А, стр. 11. В образовательном центре разместились детский сад, рассчитанный на 175 воспитанников, и школа на 400 учеников.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 по строительству школ и детских садов, направленная на повышение доступности получения образования. Только с начала года Управлением Росреестра по Москве совместно со столичной Кадастровой палатой проведены учетные действия в отношении шести образовательных учреждений, общая площадь которых составляет свыше 20 тысяч квадратных метров»,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Образовательный центр представляет собой трёхэтажное здание, выполненное в едином стиле со строящимся многофункциональным комплексом. В основу образа лег строгий геометричный узор, фасады облицованы бетонной плиткой коричневого цвета. В самом здании созданы все необходимые условия для образовательного процесса.</w:t>
      </w:r>
    </w:p>
    <w:p>
      <w:pPr>
        <w:pStyle w:val="BodyText"/>
      </w:pPr>
      <w:r>
        <w:t xml:space="preserve">Помещения детского сада и школы разделены, общей является только зона кухни. Групповые ячейки и другие помещения дошкольного учреждения занимают часть первого и второго этажа, остальные площади относятся к школе. Вход в здание расположен на одном уровне с землей, что создает дополнительные удобства для маломобильных граждан.</w:t>
      </w:r>
    </w:p>
    <w:p>
      <w:pPr>
        <w:pStyle w:val="BodyText"/>
      </w:pPr>
      <w:r>
        <w:t xml:space="preserve">Участок образовательно центра благоустроен и составляет единое пространство с территорией строящегося комплекса. На нем расположены детские игровые площадки, созданы пешеходные зоны.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новый современный образовательный центр откроет свои двери для 500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http://kosino-uhtomski.mos.ru/will-rosiest/detail/9726361.html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26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26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2025-02-27T20:15:09Z</dcterms:created>
  <dcterms:modified xsi:type="dcterms:W3CDTF">2025-02-27T20:15:09Z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