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оформить-гараж"/>
    <w:p>
      <w:pPr>
        <w:pStyle w:val="Heading3"/>
      </w:pPr>
      <w:r>
        <w:t xml:space="preserve">Как оформить гараж?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о реализации "гаражной амнистии"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http://kosino-uhtomski.mos.ru/will-rosiest/detail/10302599.html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5f/garazhnaya-amnistiya_metodichka-_3_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302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5f/garazhnaya-amnistiya_metodichka-_3_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302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2025-02-25T10:05:45Z</dcterms:created>
  <dcterms:modified xsi:type="dcterms:W3CDTF">2025-02-25T10:05:45Z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