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ection"/>
    <w:p>
      <w:pPr>
        <w:pStyle w:val="Heading3"/>
      </w:pPr>
      <w:r>
        <w:t xml:space="preserve">.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hyperlink r:id="rId20">
        <w:r>
          <w:rPr>
            <w:rStyle w:val="Hyperlink"/>
          </w:rPr>
          <w:t xml:space="preserve">Онлайн-семинар для жителей ВАО г. Москвы на тему: «Получение социального налогового вычета физическими лицами по расходам на обучение через Интернет-сервис ФНС России «Личный кабинет налогоплательщика для физических лиц» на официальном сайте www.nalog.ru»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http://kosino-uhtomski.mos.ru/trade/useful-information/detail/9256190.html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980/prilozhenie-_-1-dlya-razmeshcheniya-na-saytakh_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2561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980/prilozhenie-_-1-dlya-razmeshcheniya-na-saytakh_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92561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2025-04-01T02:43:25Z</dcterms:created>
  <dcterms:modified xsi:type="dcterms:W3CDTF">2025-04-01T02:43:25Z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