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bb49f466c81e929695fcb5b3f1014047f1aa6"/>
    <w:p>
      <w:pPr>
        <w:pStyle w:val="Heading3"/>
      </w:pPr>
      <w:r>
        <w:t xml:space="preserve">Актуализированная схема размещения сезонных (летних) кафе при стационарных предприятиях общественного питания на территории Восточного административного округа г. Москвы от 10 августа 2017 г.</w:t>
      </w:r>
    </w:p>
    <w:p>
      <w:pPr>
        <w:pStyle w:val="FirstParagraph"/>
      </w:pPr>
      <w:r>
        <w:t xml:space="preserve">18.08.2017</w:t>
      </w:r>
    </w:p>
    <w:p>
      <w:pPr>
        <w:pStyle w:val="BodyText"/>
      </w:pPr>
      <w:hyperlink r:id="rId20">
        <w:r>
          <w:rPr>
            <w:rStyle w:val="Hyperlink"/>
          </w:rPr>
          <w:t xml:space="preserve">Актуализированная схема размещения НТО на территории ВАО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http://kosino-uhtomski.mos.ru/trade/useful-information/detail/6724173.html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29/aktualizirovannaya_skhema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6724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29/aktualizirovannaya_skhema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6724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2025-03-02T11:42:47Z</dcterms:created>
  <dcterms:modified xsi:type="dcterms:W3CDTF">2025-03-02T11:42:47Z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