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участников-алкогольного-рынка"/>
    <w:p>
      <w:pPr>
        <w:pStyle w:val="Heading3"/>
      </w:pPr>
      <w:r>
        <w:t xml:space="preserve">Внимание участников алкогольного рынка!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r>
        <w:t xml:space="preserve">С 1 по 20 января 2017 года проводится декларационная кампания за 4 квартал 2016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4 квартал 2016 года необходимо подать до 20 января 2017 года.</w:t>
      </w:r>
    </w:p>
    <w:p>
      <w:pPr>
        <w:pStyle w:val="BodyText"/>
      </w:pPr>
      <w:r>
        <w:t xml:space="preserve">Организации, осуществляющие розничную продажу алкогольной продукции, пива и пивных напитков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спиртосодержащей непищевой продукции, с содержанием этилового спирта более 25 процентов зарегистрированные на территории города Москвы представляют декларации по форме 11 и 12 исключительно в форме электронного документа, на региональную площадку города Москвы в информационной системе Федеральной службы по регулированию алкогольного рынка https://service.fsrar.ru/ .</w:t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продукции, в декларациях указываются нулевые показатели.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Подключение к ЕГАИС не освобождает от обязанности подачи деклараций.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http://kosino-uhtomski.mos.ru/trade/useful-information/detail/4650786.html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4650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4650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2025-05-28T13:56:37Z</dcterms:created>
  <dcterms:modified xsi:type="dcterms:W3CDTF">2025-05-28T13:56:37Z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