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eac01b83282bf14bf4403f19cf9a40077cee8"/>
    <w:p>
      <w:pPr>
        <w:pStyle w:val="Heading3"/>
      </w:pPr>
      <w:r>
        <w:t xml:space="preserve">Распоряжение префекта Восточного административного округа от 26 апреля 2016 г. № 197-В-РП «Об утверждении актуализированной схемы размещения сезонных (летних) кафе при стационарных предприятиях общественного питания на территории Восточного административн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префекта Восточного административного округа от 26 апреля 2016 г. № 197-В-РП «Об утверждении актуализированной схемы размещения сезонных (летних) кафе при стационарных предприятиях общественного питания на территории Восточного административного округа города Москвы».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http://kosino-uhtomski.mos.ru/trade/useful-information/detail/2936466.html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39/skhema-sezonnykh-kafe-2016_1_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936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39/skhema-sezonnykh-kafe-2016_1_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936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2023-10-06T03:02:11Z</dcterms:created>
  <dcterms:modified xsi:type="dcterms:W3CDTF">2023-10-06T03:02:11Z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