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7cf7727edc7f0ecdb066fc91d4bd1712cf97b"/>
    <w:p>
      <w:pPr>
        <w:pStyle w:val="Heading3"/>
      </w:pPr>
      <w:r>
        <w:t xml:space="preserve">Схема размещения сезонных кафе при стационарных предприятиях общественного питания на территории ВАО города Москвы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hyperlink r:id="rId20">
        <w:r>
          <w:rPr>
            <w:rStyle w:val="Hyperlink"/>
          </w:rPr>
          <w:t xml:space="preserve">Актуализированная схема размещения сезонных (летних) кафе при стационарных предприятиях общественного питания на территории Восточного административного округа города Москвы.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http://kosino-uhtomski.mos.ru/trade/useful-information/detail/2928046.html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21/skhema-razmeshcheniya-sezonnykh-_letnikh_-kafe-pri-statsionarnykh-predpriyatiyakh-obshchestvennogo-pitaniya-na-territorii-vostochnogo-administrativnogo-okruga-goroda-moskvy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2928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21/skhema-razmeshcheniya-sezonnykh-_letnikh_-kafe-pri-statsionarnykh-predpriyatiyakh-obshchestvennogo-pitaniya-na-territorii-vostochnogo-administrativnogo-okruga-goroda-moskvy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2928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2025-04-11T22:53:43Z</dcterms:created>
  <dcterms:modified xsi:type="dcterms:W3CDTF">2025-04-11T22:53:43Z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