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ac97bf209e5a48a8714c21976cf72784d47af"/>
    <w:p>
      <w:pPr>
        <w:pStyle w:val="Heading3"/>
      </w:pPr>
      <w:r>
        <w:t xml:space="preserve">Утверждена актуализированная схема размещения нестационарных торговых объектов в Восточном округе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размещения нестационарных торговых объектов в Восточном округе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http://kosino-uhtomski.mos.ru/trade/useful-information/detail/2310441.html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10441.html" TargetMode="External" /><Relationship Type="http://schemas.openxmlformats.org/officeDocument/2006/relationships/hyperlink" Id="rId20" Target="https://yadi.sk/d/cQ7uADuXkgvw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310441.html" TargetMode="External" /><Relationship Type="http://schemas.openxmlformats.org/officeDocument/2006/relationships/hyperlink" Id="rId20" Target="https://yadi.sk/d/cQ7uADuXkgvw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2025-02-28T21:43:02Z</dcterms:created>
  <dcterms:modified xsi:type="dcterms:W3CDTF">2025-02-28T21:43:02Z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