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70b628b8171934be3a2fcf51d5abb9940346dcd"/>
    <w:p>
      <w:pPr>
        <w:pStyle w:val="Heading3"/>
      </w:pPr>
      <w:r>
        <w:t xml:space="preserve">В столице снизили ставки по льготным кредитам для бизнеса</w:t>
      </w:r>
    </w:p>
    <w:p>
      <w:pPr>
        <w:pStyle w:val="FirstParagraph"/>
      </w:pPr>
      <w:r>
        <w:t xml:space="preserve">17.06.2025</w:t>
      </w:r>
    </w:p>
    <w:p>
      <w:pPr>
        <w:pStyle w:val="BodyText"/>
      </w:pPr>
      <w:r>
        <w:t xml:space="preserve">За финансовой поддержкой могут обратиться предприниматели, работающие в одной из приоритетных отраслей экономики.</w:t>
      </w:r>
    </w:p>
    <w:p>
      <w:pPr>
        <w:pStyle w:val="BodyText"/>
      </w:pPr>
      <w:r>
        <w:t xml:space="preserve">С июня этого года после объявления Центрального банка Российской Федерации о снижении ключевой ставки до 20 процентов Правительство Москвы обновило условия программ льготного кредитования. Четыре из них продлили еще в</w:t>
      </w:r>
      <w:r>
        <w:t xml:space="preserve"> </w:t>
      </w:r>
      <w:hyperlink r:id="rId20">
        <w:r>
          <w:rPr>
            <w:rStyle w:val="Hyperlink"/>
          </w:rPr>
          <w:t xml:space="preserve">апреле 2025-го</w:t>
        </w:r>
      </w:hyperlink>
      <w:r>
        <w:t xml:space="preserve">. Это льготное кредитование приоритетных отраслей, онлайн-кредитование без имущественного залога, льготное кредитование под залог прав на интеллектуальную собственность и поддержка экспортеров. Также продлена программа льготного факторинга.</w:t>
      </w:r>
    </w:p>
    <w:p>
      <w:pPr>
        <w:pStyle w:val="BodyText"/>
      </w:pPr>
      <w:r>
        <w:t xml:space="preserve">С 2020 года за льготными кредитами в Москве обратились 30 тысяч предпринимателей, которые заключили более 37 тысяч договоров. За пять лет работы программ столичные бизнесмены привлекли 382 миллиарда рублей и увеличили выручку в среднем на 15 процентов.</w:t>
      </w:r>
    </w:p>
    <w:p>
      <w:pPr>
        <w:pStyle w:val="BodyText"/>
      </w:pPr>
      <w:r>
        <w:t xml:space="preserve">За финансовой поддержкой могут обратиться предприниматели, работающие в одной из приоритетных отраслей экономики. В их числе — производство, ИТ, высокие технологии, инновации, экспорт, креативные индустрии, туризм и социальное предпринимательство.</w:t>
      </w:r>
    </w:p>
    <w:bookmarkEnd w:id="21"/>
    <w:bookmarkStart w:id="22" w:name="X770a72e6f9e0d97593631a7a5570fd0467b42cf"/>
    <w:p>
      <w:pPr>
        <w:pStyle w:val="Heading2"/>
      </w:pPr>
      <w:r>
        <w:rPr>
          <w:bCs/>
          <w:b/>
        </w:rPr>
        <w:t xml:space="preserve">Льготное кредитование приоритетных отраслей</w:t>
      </w:r>
    </w:p>
    <w:p>
      <w:pPr>
        <w:pStyle w:val="FirstParagraph"/>
      </w:pPr>
      <w:r>
        <w:t xml:space="preserve">Среди популярных программ — льготное кредитование приоритетных отраслей. Льготная ставка по новым кредитам в рамках базовой программы кредитования снизится до 15 процентов годовых (одна вторая ключевой ставки, установленной Банком России, плюс пять процентов). Максимальный размер кредита — 30 миллионов рублей, а срок субсидирования процентной ставки — до 12 месяцев.</w:t>
      </w:r>
    </w:p>
    <w:p>
      <w:pPr>
        <w:pStyle w:val="BodyText"/>
      </w:pPr>
      <w:r>
        <w:t xml:space="preserve">Для подачи заявки на льготный кредит необходимо обратиться в один из банков — партнеров программы. Среди них — Сбербанк, на долю которого приходится 40 процентов привлеченного финансирования за все время действия программ. За первые 1,5 месяца после их возобновления банк уже одобрил более 350 заявок.</w:t>
      </w:r>
    </w:p>
    <w:p>
      <w:pPr>
        <w:pStyle w:val="BodyText"/>
      </w:pPr>
      <w:r>
        <w:t xml:space="preserve">«Программа льготного кредитования приоритетных отраслей является самой востребованной региональной мерой поддержки. Это отличная возможность для московских предпринимателей увеличить объемы уже существующего бизнеса и начать инвестировать в новые актуальные проекты. С мая 2020 года Сбербанк выдал более 30 тысяч льготных кредитов на общую сумму почти 150 миллиардов рублей», — отметил председатель Сбербанка Герман Барг.</w:t>
      </w:r>
    </w:p>
    <w:p>
      <w:pPr>
        <w:pStyle w:val="BodyText"/>
      </w:pPr>
      <w:r>
        <w:t xml:space="preserve">В 2025 году также рассматривается внедрение нового сервиса, с помощью которого предприниматели смогут подать заявки на субсидии, предоставляемые столичным Департаментом предпринимательства и инновационного развития, через личный кабинет клиента банка.</w:t>
      </w:r>
    </w:p>
    <w:p>
      <w:pPr>
        <w:pStyle w:val="BodyText"/>
      </w:pPr>
      <w:r>
        <w:t xml:space="preserve">Кроме того, в число партнеров также входят ПАО «Совкомбанк», ПАО «Банк ВТБ», ПАО «Банк ПСБ», АО «МСП Банк», АО «Банк Дом.рф», АО «Альфа-банк», АО «Т-Банк», АО «Газпромбанк» и ПАО «Московский кредитный банк».</w:t>
      </w:r>
    </w:p>
    <w:bookmarkEnd w:id="22"/>
    <w:bookmarkStart w:id="23" w:name="Xcbb59fa0801f6914d15dccfe7a83ba16009cba1"/>
    <w:p>
      <w:pPr>
        <w:pStyle w:val="Heading2"/>
      </w:pPr>
      <w:r>
        <w:rPr>
          <w:bCs/>
          <w:b/>
        </w:rPr>
        <w:t xml:space="preserve">Онлайн-кредитование без имущественного залога</w:t>
      </w:r>
    </w:p>
    <w:p>
      <w:pPr>
        <w:pStyle w:val="FirstParagraph"/>
      </w:pPr>
      <w:r>
        <w:t xml:space="preserve">Изменения затронули и программу онлайн-кредитования приоритетных отраслей без имущественного залога. Теперь льготная ставка составляет 15 процентов (одна вторая ключевой ставки Банка России, увеличенная на пять процентных пунктов) на любые цели. Максимальный размер кредита — пять миллионов рублей. Срок субсидирования процентной ставки — до 12 месяцев. Для получения онлайн-кредита не требуется предоставления залога. Как правило, все необходимое уже есть у банка, в котором открыт расчетный счет. Оформить льготный кредит можно через интернет-банк в течение одного — трех дней. Проверка данных заемщика и принятие решения происходят автоматически.</w:t>
      </w:r>
    </w:p>
    <w:p>
      <w:pPr>
        <w:pStyle w:val="BodyText"/>
      </w:pPr>
      <w:r>
        <w:t xml:space="preserve">Банками — партнерами этой программы выступают ПАО «Сбербанк», ПАО «Совкомбанк», ПАО «Банк ПСБ», а также АО «МСП Банк».</w:t>
      </w:r>
    </w:p>
    <w:bookmarkEnd w:id="23"/>
    <w:bookmarkStart w:id="24" w:name="X94a7a42355f3f4d685b931974b0e556153ec670"/>
    <w:p>
      <w:pPr>
        <w:pStyle w:val="Heading2"/>
      </w:pPr>
      <w:r>
        <w:rPr>
          <w:bCs/>
          <w:b/>
        </w:rPr>
        <w:t xml:space="preserve">Льготное кредитование под залог прав на интеллектуальную собственность</w:t>
      </w:r>
    </w:p>
    <w:p>
      <w:pPr>
        <w:pStyle w:val="FirstParagraph"/>
      </w:pPr>
      <w:r>
        <w:t xml:space="preserve">По программе кредитования под залог прав на интеллектуальную собственность ставки остаются без изменений. При наличии зарегистрированных в реестре российского программного обеспечения патентов или свидетельств на программы для ЭВМ и баз данных ставка останется на уровне пяти процентов. В других случаях она составит 8,5 процента. Это делает программу одной из самых доступных на рынке и подчеркивает приоритетное внимание города к поддержке технологичных и инновационных проектов. Возможная сумма кредита — до 50 миллионов рублей, максимальный размер покрытия поручительством составляет 95 процентов. Срок субсидирования процентной ставки — до 24 месяцев.</w:t>
      </w:r>
    </w:p>
    <w:p>
      <w:pPr>
        <w:pStyle w:val="BodyText"/>
      </w:pPr>
      <w:r>
        <w:t xml:space="preserve">Подать заявку на получение льготного кредита можно в таких банках, как ПАО «Сбербанк», и ПАО «Совкомбанк».</w:t>
      </w:r>
    </w:p>
    <w:bookmarkEnd w:id="24"/>
    <w:bookmarkStart w:id="25" w:name="льготная-поддержка-экспортеров"/>
    <w:p>
      <w:pPr>
        <w:pStyle w:val="Heading2"/>
      </w:pPr>
      <w:r>
        <w:rPr>
          <w:bCs/>
          <w:b/>
        </w:rPr>
        <w:t xml:space="preserve">Льготная поддержка экспортеров</w:t>
      </w:r>
    </w:p>
    <w:p>
      <w:pPr>
        <w:pStyle w:val="FirstParagraph"/>
      </w:pPr>
      <w:r>
        <w:t xml:space="preserve">До 12 процентов снизится ставка по программе кредитования на экспортную деятельность (одни вторая ключевой ставки плюс два процента). Это упростит для московских предпринимателей выход на международные рынки. Максимальный размер кредита — 100 миллионов рублей, срок субсидирования процентной ставки — до 24 месяцев.</w:t>
      </w:r>
    </w:p>
    <w:p>
      <w:pPr>
        <w:pStyle w:val="BodyText"/>
      </w:pPr>
      <w:r>
        <w:t xml:space="preserve">Для подачи заявки на льготный кредит необходимо обратиться в один из банков — партнеров программы: ПАО «Сбербанк», ПАО «Совкомбанк», ПАО «Банк ВТБ», а также ПАО «Московский кредитный банк».</w:t>
      </w:r>
    </w:p>
    <w:bookmarkEnd w:id="25"/>
    <w:bookmarkStart w:id="31" w:name="льготный-факторинг"/>
    <w:p>
      <w:pPr>
        <w:pStyle w:val="Heading2"/>
      </w:pPr>
      <w:r>
        <w:rPr>
          <w:bCs/>
          <w:b/>
        </w:rPr>
        <w:t xml:space="preserve">Льготный факторинг</w:t>
      </w:r>
    </w:p>
    <w:p>
      <w:pPr>
        <w:pStyle w:val="FirstParagraph"/>
      </w:pPr>
      <w:r>
        <w:t xml:space="preserve">По программе льготного факторинга новая ставка составит 16 процентов годовых (одна вторая ключевой ставки плюс шесть процентов), что делает инструмент более доступным для бизнеса, работающего с отсрочкой платежа. Предприниматели, работающие в сфере приоритетных направлений, могут заключить договоры льготного факторинга на сумму до 100 миллионов рублей со сроком субсидирования процентной ставки до 12 месяцев.</w:t>
      </w:r>
    </w:p>
    <w:p>
      <w:pPr>
        <w:pStyle w:val="BodyText"/>
      </w:pPr>
      <w:r>
        <w:t xml:space="preserve">В программе участвуют ведущие факторинговые организации, среди которых ООО «Сбербанк факторинг», ООО «Совкомбанк факторинг», ООО «ВТБ факторинг», ООО «МСП факторинг» (группа «ПСБ»), ООО «РСХБ факторинг», АО «Альфа-банк», а также АО «Росагролизинг» и ООО «Рови факторинг плюс».</w:t>
      </w:r>
    </w:p>
    <w:p>
      <w:pPr>
        <w:pStyle w:val="BodyText"/>
      </w:pPr>
      <w:r>
        <w:t xml:space="preserve">При отсутствии собственного залогового обеспечения предприниматели могут также обратиться в</w:t>
      </w:r>
      <w:r>
        <w:t xml:space="preserve"> </w:t>
      </w:r>
      <w:hyperlink r:id="rId26">
        <w:r>
          <w:rPr>
            <w:rStyle w:val="Hyperlink"/>
          </w:rPr>
          <w:t xml:space="preserve">Московский гарантийный фонд</w:t>
        </w:r>
      </w:hyperlink>
      <w:r>
        <w:t xml:space="preserve">, который, выступая поручителем, способствуют решению проблемы нехватки собственного залога для получения кредита. Кроме того, консультанты фонда помогают заявителям с подготовкой необходимых документов.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национального проекта</w:t>
      </w:r>
      <w:r>
        <w:t xml:space="preserve"> </w:t>
      </w:r>
      <w:hyperlink r:id="rId27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Оперативно узнавайте главные новости в</w:t>
      </w:r>
      <w:r>
        <w:t xml:space="preserve"> </w:t>
      </w:r>
      <w:hyperlink r:id="rId28">
        <w:r>
          <w:rPr>
            <w:rStyle w:val="Hyperlink"/>
            <w:bCs/>
            <w:b/>
          </w:rPr>
          <w:t xml:space="preserve">официальном телеграм-канале</w:t>
        </w:r>
      </w:hyperlink>
      <w:r>
        <w:t xml:space="preserve"> </w:t>
      </w:r>
      <w:r>
        <w:rPr>
          <w:bCs/>
          <w:b/>
        </w:rP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http://kosino-uhtomski.mos.ru/trade/useful-information/detail/13038484.html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kosino-uhtomski.mos.ru" TargetMode="External" /><Relationship Type="http://schemas.openxmlformats.org/officeDocument/2006/relationships/hyperlink" Id="rId29" Target="http://kosino-uhtomski.mos.ru/trade/useful-information/detail/13038484.html" TargetMode="External" /><Relationship Type="http://schemas.openxmlformats.org/officeDocument/2006/relationships/hyperlink" Id="rId28" Target="https://t.me/mosrutop" TargetMode="External" /><Relationship Type="http://schemas.openxmlformats.org/officeDocument/2006/relationships/hyperlink" Id="rId26" Target="https://www.fskmb.ru/" TargetMode="External" /><Relationship Type="http://schemas.openxmlformats.org/officeDocument/2006/relationships/hyperlink" Id="rId20" Target="https://www.mos.ru/news/item/153259073/" TargetMode="External" /><Relationship Type="http://schemas.openxmlformats.org/officeDocument/2006/relationships/hyperlink" Id="rId27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kosino-uhtomski.mos.ru" TargetMode="External" /><Relationship Type="http://schemas.openxmlformats.org/officeDocument/2006/relationships/hyperlink" Id="rId29" Target="http://kosino-uhtomski.mos.ru/trade/useful-information/detail/13038484.html" TargetMode="External" /><Relationship Type="http://schemas.openxmlformats.org/officeDocument/2006/relationships/hyperlink" Id="rId28" Target="https://t.me/mosrutop" TargetMode="External" /><Relationship Type="http://schemas.openxmlformats.org/officeDocument/2006/relationships/hyperlink" Id="rId26" Target="https://www.fskmb.ru/" TargetMode="External" /><Relationship Type="http://schemas.openxmlformats.org/officeDocument/2006/relationships/hyperlink" Id="rId20" Target="https://www.mos.ru/news/item/153259073/" TargetMode="External" /><Relationship Type="http://schemas.openxmlformats.org/officeDocument/2006/relationships/hyperlink" Id="rId27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2025-06-17T16:33:56Z</dcterms:created>
  <dcterms:modified xsi:type="dcterms:W3CDTF">2025-06-17T16:33:56Z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