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6f53c75196fbec744e77d3a3d0a9001ce68ba7"/>
    <w:p>
      <w:pPr>
        <w:pStyle w:val="Heading3"/>
      </w:pPr>
      <w:r>
        <w:t xml:space="preserve">Справочная информация для индивидуальных предпринимателей о возможности применения патентной системы налогообложения и необходимости использования контрольно-кассовой техники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drawing>
          <wp:inline>
            <wp:extent cx="5334000" cy="28672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5f/c0g5n8ghlmvihm0w6qj43blz4kualfbm/torgovlya-psn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72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7133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75/nl2d3nujv1rp311487zez0b25bdzibz8/torgovlya-psn-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13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http://kosino-uhtomski.mos.ru/trade/useful-information/detail/11453172.html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trade/useful-information/detail/11453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trade/useful-information/detail/11453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2025-04-01T02:29:37Z</dcterms:created>
  <dcterms:modified xsi:type="dcterms:W3CDTF">2025-04-01T02:29:37Z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