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торговый-сбор"/>
    <w:p>
      <w:pPr>
        <w:pStyle w:val="Heading3"/>
      </w:pPr>
      <w:r>
        <w:t xml:space="preserve">Торговый сбор</w:t>
      </w:r>
    </w:p>
    <w:p>
      <w:pPr>
        <w:pStyle w:val="FirstParagraph"/>
      </w:pPr>
      <w:r>
        <w:t xml:space="preserve">07.02.2023</w:t>
      </w:r>
    </w:p>
    <w:p>
      <w:pPr>
        <w:pStyle w:val="BodyText"/>
      </w:pPr>
      <w:r>
        <w:drawing>
          <wp:inline>
            <wp:extent cx="5334000" cy="37354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730/aukonk0xi4ay0b5cney00tsckdzubiye/torgovyy-sbor_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5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5435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2de/kgqhwr9xyb06tm8wzyn5r8wd9jq8m3u9/torgovyy-sbor_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3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http://kosino-uhtomski.mos.ru/trade/useful-information/detail/11395867.html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trade/useful-information/detail/113958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trade/useful-information/detail/113958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2025-04-01T02:52:09Z</dcterms:created>
  <dcterms:modified xsi:type="dcterms:W3CDTF">2025-04-01T02:52:09Z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