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2aba22a82519a3cb54fa475ecdbe8dd23940b"/>
    <w:p>
      <w:pPr>
        <w:pStyle w:val="Heading3"/>
      </w:pPr>
      <w:r>
        <w:t xml:space="preserve">Роспотребнадзор о проведении горячей линии по вопросам качества и безопасности пищевой продукции и срокам годности</w:t>
      </w:r>
    </w:p>
    <w:p>
      <w:pPr>
        <w:pStyle w:val="FirstParagraph"/>
      </w:pPr>
      <w:r>
        <w:t xml:space="preserve">22.12.2022</w:t>
      </w:r>
    </w:p>
    <w:p>
      <w:pPr>
        <w:pStyle w:val="BodyText"/>
      </w:pPr>
      <w:r>
        <w:drawing>
          <wp:inline>
            <wp:extent cx="5334000" cy="34652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017/8fmvexqyeylugsqb536d7ehx9nuyxn3x/Bezymyanny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5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http://kosino-uhtomski.mos.ru/trade/useful-information/detail/11309310.html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11309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11309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2025-04-01T02:29:32Z</dcterms:created>
  <dcterms:modified xsi:type="dcterms:W3CDTF">2025-04-01T02:29:32Z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