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гбу-московское-объединение-ветеринарии"/>
    <w:p>
      <w:pPr>
        <w:pStyle w:val="Heading3"/>
      </w:pPr>
      <w:r>
        <w:t xml:space="preserve">ГБУ "Московское объединение ветеринарии"</w:t>
      </w:r>
    </w:p>
    <w:p>
      <w:pPr>
        <w:pStyle w:val="FirstParagraph"/>
      </w:pPr>
      <w:r>
        <w:t xml:space="preserve">31.10.2022</w:t>
      </w:r>
    </w:p>
    <w:p>
      <w:pPr>
        <w:pStyle w:val="BodyText"/>
      </w:pPr>
      <w:r>
        <w:drawing>
          <wp:inline>
            <wp:extent cx="5334000" cy="48744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ac/wg9p3i1grlxtrbe5vgvqx4f8366ln7m3/Bezymyannyy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74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27884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37/kylnlb177ggtgca48y38re857e8chpiv/Bezymyannyy6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7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http://kosino-uhtomski.mos.ru/trade/useful-information/detail/11170407.html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1170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1170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2025-04-01T02:51:59Z</dcterms:created>
  <dcterms:modified xsi:type="dcterms:W3CDTF">2025-04-01T02:51:59Z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