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участникам-алкогольного-рынка"/>
    <w:p>
      <w:pPr>
        <w:pStyle w:val="Heading3"/>
      </w:pPr>
      <w:r>
        <w:t xml:space="preserve">Участникам алкогольного рынка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rPr>
          <w:bCs/>
          <w:b/>
        </w:rPr>
        <w:t xml:space="preserve">С 1 по 20 июля 2022 года проводится декларационная кампания за 2 квартал 2022 года</w:t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2022 года необходимо подать до 20 июля 2022 года на региональную площадку города Москвы в информационной системе Федеральной службы по регулированию алкогольного рынка https://service.fsrar.ru/ исключительно в форме электронного документа.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 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rPr>
          <w:bCs/>
          <w:b/>
        </w:rPr>
        <w:t xml:space="preserve">Контактный телефон в Департаменте торговли и услуг города Москвы по вопросам декларирования:</w:t>
      </w:r>
    </w:p>
    <w:p>
      <w:pPr>
        <w:pStyle w:val="BodyText"/>
      </w:pPr>
      <w:r>
        <w:rPr>
          <w:bCs/>
          <w:b/>
        </w:rPr>
        <w:t xml:space="preserve">8(495) 621-18-58, 8(495) 628-24-75.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участников алкогольного рынка</w:t>
      </w:r>
    </w:p>
    <w:p>
      <w:pPr>
        <w:pStyle w:val="BodyText"/>
      </w:pPr>
      <w:hyperlink r:id="rId20">
        <w:r>
          <w:rPr>
            <w:rStyle w:val="Hyperlink"/>
          </w:rPr>
          <w:t xml:space="preserve">С 1 по 20 апреля 2022 года проводится декларационная кампания за 1 квартал 2022 года</w:t>
        </w:r>
      </w:hyperlink>
    </w:p>
    <w:p>
      <w:pPr>
        <w:pStyle w:val="BodyText"/>
      </w:pPr>
      <w:r>
        <w:rPr>
          <w:bCs/>
          <w:b/>
        </w:rPr>
        <w:t xml:space="preserve">Сроки подачи алкогольной декларации в 2022-2023 году</w:t>
      </w:r>
    </w:p>
    <w:p>
      <w:pPr>
        <w:pStyle w:val="BodyText"/>
      </w:pPr>
      <w:r>
        <w:t xml:space="preserve">За IV квартал 2021 года — до 20 января 2022 года, а корректировку нужно сдать до 20 апреля;</w:t>
      </w:r>
    </w:p>
    <w:p>
      <w:pPr>
        <w:pStyle w:val="BodyText"/>
      </w:pPr>
      <w:r>
        <w:t xml:space="preserve">За I квартал 2022 — до 20 апреля, корректировку — до 20 июля;</w:t>
      </w:r>
    </w:p>
    <w:p>
      <w:pPr>
        <w:pStyle w:val="BodyText"/>
      </w:pPr>
      <w:r>
        <w:t xml:space="preserve">За II квартал 2022 — до 20 июля, корректировку — до 20 октября;</w:t>
      </w:r>
    </w:p>
    <w:p>
      <w:pPr>
        <w:pStyle w:val="BodyText"/>
      </w:pPr>
      <w:r>
        <w:t xml:space="preserve">За III квартал 2022 — до 20 октября, корректировку — до 20 января 2023 года;</w:t>
      </w:r>
    </w:p>
    <w:p>
      <w:pPr>
        <w:pStyle w:val="BodyText"/>
      </w:pPr>
      <w:r>
        <w:t xml:space="preserve">За IV квартал 2022 — до 20 января 2023 года, корректировку — до 20 апреля 2023 года.</w:t>
      </w:r>
    </w:p>
    <w:p>
      <w:pPr>
        <w:pStyle w:val="BodyText"/>
      </w:pPr>
      <w:r>
        <w:t xml:space="preserve">Алкодекларации нужно сдавать в ФСРАР ежеквартально, не позднее 20 числа месяца, который следует за отчетным кварталом. Если 20 число приходится на нерабочий день, днем окончания срока подачи деклараций считается следующий за ним рабочий (</w:t>
      </w:r>
      <w:hyperlink r:id="rId21">
        <w:r>
          <w:rPr>
            <w:rStyle w:val="Hyperlink"/>
          </w:rPr>
          <w:t xml:space="preserve">статья 193</w:t>
        </w:r>
      </w:hyperlink>
      <w:r>
        <w:t xml:space="preserve"> </w:t>
      </w:r>
      <w:r>
        <w:t xml:space="preserve">Гражданского кодекса РФ).</w:t>
      </w:r>
    </w:p>
    <w:p>
      <w:pPr>
        <w:pStyle w:val="BodyText"/>
      </w:pPr>
      <w:r>
        <w:rPr>
          <w:bCs/>
          <w:b/>
        </w:rPr>
        <w:t xml:space="preserve">Санкции за нарушение</w:t>
      </w:r>
    </w:p>
    <w:p>
      <w:pPr>
        <w:pStyle w:val="BodyText"/>
      </w:pPr>
      <w:r>
        <w:t xml:space="preserve">За искажение информации или несвоевременную сдачу алкогольной декларации должностных лиц и ИП оштрафуют на сумму от 5 до 10 тыс. рублей, а юрлиц — от 50 до 100 тыс. рублей (</w:t>
      </w:r>
      <w:hyperlink r:id="rId22">
        <w:r>
          <w:rPr>
            <w:rStyle w:val="Hyperlink"/>
          </w:rPr>
          <w:t xml:space="preserve">статья 15.13</w:t>
        </w:r>
      </w:hyperlink>
      <w:r>
        <w:t xml:space="preserve"> </w:t>
      </w:r>
      <w:r>
        <w:t xml:space="preserve">КоАП РФ).</w:t>
      </w:r>
    </w:p>
    <w:p>
      <w:pPr>
        <w:pStyle w:val="BodyText"/>
      </w:pPr>
      <w:r>
        <w:t xml:space="preserve">Непредоставление в контролирующие органы полного объема сведений карается штрафом для должностных лиц и ИП в размере от 300 до 500 рублей, для юрлиц в размере от 3 до 5 тыс. рублей. Штраф может быть заменен предупреждением (</w:t>
      </w:r>
      <w:hyperlink r:id="rId23">
        <w:r>
          <w:rPr>
            <w:rStyle w:val="Hyperlink"/>
          </w:rPr>
          <w:t xml:space="preserve">статья 19.7</w:t>
        </w:r>
      </w:hyperlink>
      <w:r>
        <w:t xml:space="preserve"> </w:t>
      </w:r>
      <w:r>
        <w:t xml:space="preserve">КоАП РФ).</w:t>
      </w:r>
    </w:p>
    <w:p>
      <w:pPr>
        <w:pStyle w:val="BodyText"/>
      </w:pPr>
      <w:r>
        <w:t xml:space="preserve">Неоднократное предоставление в течение одного года недостоверных сведений в декларациях является основанием для аннулирования лицензии в судебном порядке (</w:t>
      </w:r>
      <w:hyperlink r:id="rId24">
        <w:r>
          <w:rPr>
            <w:rStyle w:val="Hyperlink"/>
          </w:rPr>
          <w:t xml:space="preserve">пункт 3 статьи 20</w:t>
        </w:r>
      </w:hyperlink>
      <w:r>
        <w:t xml:space="preserve"> </w:t>
      </w:r>
      <w:r>
        <w:t xml:space="preserve">Закона № 171-ФЗ).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http://kosino-uhtomski.mos.ru/trade/useful-information/detail/10925773.html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rade/useful-information/detail/10925773.html" TargetMode="External" /><Relationship Type="http://schemas.openxmlformats.org/officeDocument/2006/relationships/hyperlink" Id="rId21" Target="https://normativ.kontur.ru/document?moduleId=1&amp;documentId=377956&amp;rangeId=448811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4" Target="https://normativ.kontur.ru/document?moduleId=1&amp;documentId=404499&amp;rangeId=5025487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2" Target="https://normativ.kontur.ru/document?moduleId=1&amp;documentId=411265&amp;rangeId=5025438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3" Target="https://normativ.kontur.ru/document?moduleId=1&amp;documentId=411265&amp;rangeId=5025456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0" Target="https://perovo.mos.ru/%D0%98%D0%BD%D1%84%D0%BE%D1%80%D0%BC%D0%B0%D1%86%D0%B8%D1%8F_%D0%BF%D0%BE%20%D0%B4%D0%B5%D0%BA%D0%BB%D0%B0%D1%80%D0%B8%D1%80%D0%BE%D0%B2%D0%B0%D0%BD%D0%B8%D1%8E%201%20%D0%BA%D0%B2_2022_%D0%BF%D1%80%D0%B5%D1%84%D0%B5%D0%BA%D1%82%D1%83%D1%80%D1%8B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rade/useful-information/detail/10925773.html" TargetMode="External" /><Relationship Type="http://schemas.openxmlformats.org/officeDocument/2006/relationships/hyperlink" Id="rId21" Target="https://normativ.kontur.ru/document?moduleId=1&amp;documentId=377956&amp;rangeId=448811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4" Target="https://normativ.kontur.ru/document?moduleId=1&amp;documentId=404499&amp;rangeId=5025487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2" Target="https://normativ.kontur.ru/document?moduleId=1&amp;documentId=411265&amp;rangeId=5025438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3" Target="https://normativ.kontur.ru/document?moduleId=1&amp;documentId=411265&amp;rangeId=5025456&amp;p=1210&amp;utm_source=yandex&amp;utm_medium=organic&amp;utm_referer=yandex.ru&amp;utm_startpage=kontur.ru%2Fmarket%2Fspravka%2F262-egais_start&amp;utm_orderpage=kontur.ru%2Fmarket%2Fspravka%2F262-egais_start" TargetMode="External" /><Relationship Type="http://schemas.openxmlformats.org/officeDocument/2006/relationships/hyperlink" Id="rId20" Target="https://perovo.mos.ru/%D0%98%D0%BD%D1%84%D0%BE%D1%80%D0%BC%D0%B0%D1%86%D0%B8%D1%8F_%D0%BF%D0%BE%20%D0%B4%D0%B5%D0%BA%D0%BB%D0%B0%D1%80%D0%B8%D1%80%D0%BE%D0%B2%D0%B0%D0%BD%D0%B8%D1%8E%201%20%D0%BA%D0%B2_2022_%D0%BF%D1%80%D0%B5%D1%84%D0%B5%D0%BA%D1%82%D1%83%D1%80%D1%8B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2025-04-01T02:29:27Z</dcterms:created>
  <dcterms:modified xsi:type="dcterms:W3CDTF">2025-04-01T02:29:27Z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