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section"/>
    <w:p>
      <w:pPr>
        <w:pStyle w:val="Heading3"/>
      </w:pPr>
      <w:r>
        <w:t xml:space="preserve">.</w:t>
      </w:r>
    </w:p>
    <w:p>
      <w:pPr>
        <w:pStyle w:val="FirstParagraph"/>
      </w:pPr>
      <w:r>
        <w:t xml:space="preserve">24.06.2021</w:t>
      </w:r>
    </w:p>
    <w:p>
      <w:pPr>
        <w:pStyle w:val="BodyText"/>
      </w:pPr>
      <w:hyperlink r:id="rId20">
        <w:r>
          <w:rPr>
            <w:rStyle w:val="Hyperlink"/>
          </w:rPr>
          <w:t xml:space="preserve">График проведения прививочных пунктов на выгульных площадках на территории Восточного АО в 2021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http://kosino-uhtomski.mos.ru/the-state-veterinary-service/detail/10055857.html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50e/privivochnye-punkty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he-state-veterinary-service/detail/10055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50e/privivochnye-punkty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he-state-veterinary-service/detail/10055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2025-04-01T02:27:34Z</dcterms:created>
  <dcterms:modified xsi:type="dcterms:W3CDTF">2025-04-01T02:27:34Z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