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f6abfaebc5cd8754f1aa9b83b351509326810"/>
    <w:p>
      <w:pPr>
        <w:pStyle w:val="Heading3"/>
      </w:pPr>
      <w:r>
        <w:t xml:space="preserve">Изменения для работников, касающиеся порядка подсчета трудового стажа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Приказом Министерства труда и социальной защиты РФ от 09.09.2020 № 538н «Об утверждении Правил подсчета и подтверждения страхового стажа для определения размеров пособий по временной нетрудоспособности, по беременности и родам», вступившим в силу с 06.10.2020, установлены правила подсчета и расчета страхового стажа для определения размеров пособия по временной нетрудоспособности, по беременности и родам.</w:t>
      </w:r>
    </w:p>
    <w:p>
      <w:pPr>
        <w:pStyle w:val="BodyText"/>
      </w:pPr>
      <w:r>
        <w:t xml:space="preserve">В связи с недавним введением электронных трудовых книжек возникла необходимость изменения порядка расчета страхового стажа. Теперь для его подтверждения работнику необходимо представить трудовую книжку или иные сведения о трудовой деятельности.</w:t>
      </w:r>
    </w:p>
    <w:p>
      <w:pPr>
        <w:pStyle w:val="BodyText"/>
      </w:pPr>
      <w:r>
        <w:t xml:space="preserve">В случае, если трудовая книжка не велась, периоды работы до 31.12.2020 работник может подтвердить трудовым договором, а с 01.01.2020 – сведениями о трудовой деятельности.</w:t>
      </w:r>
    </w:p>
    <w:p>
      <w:pPr>
        <w:pStyle w:val="BodyText"/>
      </w:pPr>
      <w:r>
        <w:t xml:space="preserve">Нередко возникают ситуации, когда такого рода данные у работника отсутствуют. В таком случае он может подтвердить это другими документами, касающимися трудовой деятельности, к примеру, справками, выданными работодателями, выписками из приказов, платежными ведомостями о выплате заработной платы, приказами о переводах на другую работу, приказами об увольнении с работы и иными документами.</w:t>
      </w:r>
    </w:p>
    <w:p>
      <w:pPr>
        <w:pStyle w:val="BodyText"/>
      </w:pPr>
      <w:r>
        <w:t xml:space="preserve">Более подробно с указанным приказом можно ознакомиться в справочно-правовых системах или на официальном интернет-портале правовой информации</w:t>
      </w:r>
      <w:r>
        <w:t xml:space="preserve"> </w:t>
      </w:r>
      <w:hyperlink r:id="rId20">
        <w:r>
          <w:rPr>
            <w:rStyle w:val="Hyperlink"/>
          </w:rPr>
          <w:t xml:space="preserve">http://www.pravo.gov.ru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http://kosino-uhtomski.mos.ru/presscenter/news/detail/9524858.html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9524858.html" TargetMode="External" /><Relationship Type="http://schemas.openxmlformats.org/officeDocument/2006/relationships/hyperlink" Id="rId20" Target="http://www.pravo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9524858.html" TargetMode="External" /><Relationship Type="http://schemas.openxmlformats.org/officeDocument/2006/relationships/hyperlink" Id="rId20" Target="http://www.pravo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2025-05-10T11:11:09Z</dcterms:created>
  <dcterms:modified xsi:type="dcterms:W3CDTF">2025-05-10T11:11:09Z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