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206858875647c64a188cf8a686c50a3e3a883"/>
    <w:p>
      <w:pPr>
        <w:pStyle w:val="Heading3"/>
      </w:pPr>
      <w:r>
        <w:t xml:space="preserve">Изменение размера платы за жилищно-коммунальные услуги в связи с некачественным предоставлением коммунальных услуг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Федеральным законом от 27.10.2020 № 351-ФЗ внесены изменения в статьи 157 и 157.2 Жилищного кодекса РФ в части определения порядка изменения размера платы за коммунальные услуги, предоставленные с нарушением установленных требований.</w:t>
      </w:r>
    </w:p>
    <w:p>
      <w:pPr>
        <w:pStyle w:val="BodyText"/>
      </w:pPr>
      <w:r>
        <w:t xml:space="preserve">В соответствии с внесенными поправками, при предоставлении коммунальных услуг с перерывами, превышающими установленную продолжительность, и (или) с нарушением качества их предоставления осуществляется изменение размера платы за коммунальные услуги в порядке, установленном Правительством РФ.</w:t>
      </w:r>
    </w:p>
    <w:p>
      <w:pPr>
        <w:pStyle w:val="BodyText"/>
      </w:pPr>
      <w:r>
        <w:t xml:space="preserve">Изменение размера платы производится лицом, предоставляющим коммунальные услуги в соответствии с заключенным договором, в том числе, управляющей организацией, товариществом собственников жилья либо жилищным кооперативом или иным специализированным потребительским кооперативом, а также ресурсоснабжающей организацией или региональным оператором по обращению с твердыми коммунальными отходами.</w:t>
      </w:r>
    </w:p>
    <w:p>
      <w:pPr>
        <w:pStyle w:val="BodyText"/>
      </w:pPr>
      <w:r>
        <w:t xml:space="preserve">Федеральным законом определено, что лица или организации, ненадлежащим образом исполняющие обязанности по содержанию и своевременному ремонту общего имущества многоквартирного дома, должны компенсировать ресурсоснабжающим организациям расходы, фактически понесенные ими вследствие изменения размера платы за коммунальные услуги.</w:t>
      </w:r>
    </w:p>
    <w:p>
      <w:pPr>
        <w:pStyle w:val="BodyText"/>
      </w:pPr>
      <w:r>
        <w:t xml:space="preserve">Такая компенсация производится при условии надлежащего исполнения ресурсоснабжающей организацией обязанности по поставке ресурсов до границ общего имущества в многоквартирном доме и границ внешних сетей инженерно-технического обеспечения данного дома.</w:t>
      </w:r>
    </w:p>
    <w:p>
      <w:pPr>
        <w:pStyle w:val="BodyText"/>
      </w:pPr>
      <w:r>
        <w:t xml:space="preserve">В случае избрания непосредственного способа управления многоквартирным домом собственникам помещений в этом доме изменение размера платы за коммунальные услуги производит ресурсоснабжающая организация, если нарушения произошли до границ общего имущества в многоквартирном доме и границ внешних сетей инженерно-технического обеспечения данного дома.</w:t>
      </w:r>
    </w:p>
    <w:p>
      <w:pPr>
        <w:pStyle w:val="BodyText"/>
      </w:pPr>
      <w:r>
        <w:t xml:space="preserve">Приведенные новеллы действуют с 7 ноября 2020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http://kosino-uhtomski.mos.ru/presscenter/news/detail/9524795.html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2025-05-10T15:20:37Z</dcterms:created>
  <dcterms:modified xsi:type="dcterms:W3CDTF">2025-05-10T15:20:37Z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