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f03e2e671c353a807ce25fa61956d165e5305"/>
    <w:p>
      <w:pPr>
        <w:pStyle w:val="Heading3"/>
      </w:pPr>
      <w:r>
        <w:t xml:space="preserve">Конкретизирована административная ответственность за нарушение требований безопасности и антитеррористической защищенности объектов ТЭК</w:t>
      </w:r>
    </w:p>
    <w:p>
      <w:pPr>
        <w:pStyle w:val="FirstParagraph"/>
      </w:pPr>
      <w:r>
        <w:t xml:space="preserve">11.12.2020</w:t>
      </w:r>
    </w:p>
    <w:p>
      <w:pPr>
        <w:pStyle w:val="BodyText"/>
      </w:pPr>
      <w:r>
        <w:t xml:space="preserve">Федеральным законом от 15.10.2020 №339-ФЗ внесены изменения в статьи 3.5 и 20.30 Кодекса Российской Федерации об административных правонарушениях (нарушение требований обеспечения безопасности и антитеррористической защищенности объектов топливно-энергетического комплекса), а именно разграничена ответственность в зависимости от совершения правонарушения в отношении объектов топливно-энергетического комплекса, отнесенных к объектам низкой категории опасности и к объектам высокой или средней категории опасности.</w:t>
      </w:r>
    </w:p>
    <w:p>
      <w:pPr>
        <w:pStyle w:val="BodyText"/>
      </w:pPr>
      <w:r>
        <w:t xml:space="preserve">Также установлена ответственность в отношении объектов топливно-энергетического комплекса, отнесенных к объектам высокой или средней категории опасности, если эти действия (бездействие) не содержат признаков уголовно наказуемого деяния, которая влечет наложение административного штрафа на граждан в размере от 5 тысяч до 10 тысяч рублей; на должностных лиц - от 50 тысяч до 70 тысяч рублей или дисквалификацию на срок от одного года до трех лет; на юридических лиц - от 100 тысяч до 300 тысяч рублей.</w:t>
      </w:r>
    </w:p>
    <w:p>
      <w:pPr>
        <w:pStyle w:val="BodyText"/>
      </w:pPr>
      <w:r>
        <w:t xml:space="preserve">Федеральный закон вступает в силу - 14.04.2021.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http://kosino-uhtomski.mos.ru/presscenter/news/detail/9524788.html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5247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5247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2025-05-09T22:17:06Z</dcterms:created>
  <dcterms:modified xsi:type="dcterms:W3CDTF">2025-05-09T22:17:06Z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