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c5747b83cfca32815fd8c6410d4ad35632ec33a"/>
    <w:p>
      <w:pPr>
        <w:pStyle w:val="Heading3"/>
      </w:pPr>
      <w:r>
        <w:t xml:space="preserve">О практике рассмотрения судами гражданского иска по уголовным делам</w:t>
      </w:r>
    </w:p>
    <w:p>
      <w:pPr>
        <w:pStyle w:val="FirstParagraph"/>
      </w:pPr>
      <w:r>
        <w:t xml:space="preserve">11.12.2020</w:t>
      </w:r>
    </w:p>
    <w:p>
      <w:pPr>
        <w:pStyle w:val="BodyText"/>
      </w:pPr>
      <w:r>
        <w:t xml:space="preserve">Согласно действующему законодательству как физическое, так и юридическое лицо вправе предъявить по уголовному делу гражданский иск, содержащий требование о возмещении имущественного вреда, при наличии оснований полагать, что данный вред причинен ему непосредственно преступлением, а физическое лицо – также и о компенсации причиненного ему преступлением морального вреда.</w:t>
      </w:r>
    </w:p>
    <w:p>
      <w:pPr>
        <w:pStyle w:val="BodyText"/>
      </w:pPr>
      <w:r>
        <w:t xml:space="preserve">В качестве представителя юридического лица, признанного гражданским истцом по уголовному делу, допускаются адвокаты, а также иные лица, правомочные представлять его интересы.</w:t>
      </w:r>
    </w:p>
    <w:p>
      <w:pPr>
        <w:pStyle w:val="BodyText"/>
      </w:pPr>
      <w:r>
        <w:t xml:space="preserve">В случаях, когда в судебном заседании интересы юридического лица представляет руководитель организации либо другое правомочное лицо, его полномочия должны быть подтверждены соответствующими документами.</w:t>
      </w:r>
    </w:p>
    <w:p>
      <w:pPr>
        <w:pStyle w:val="BodyText"/>
      </w:pPr>
      <w:r>
        <w:t xml:space="preserve">Вред, причиненный преступлением, подлежит возмещению в полном объеме лицом, виновным в его совершении, поэтому, по общему правилу, в качестве гражданского ответчика привлекается обвиняемый. Вместе с тем в случаях, когда законом обязанность возмещения вреда возлагается на лицо, не являющееся причинителем вреда, в качестве гражданского ответчика привлекается такое лицо, в том числе юридическое лицо.</w:t>
      </w:r>
    </w:p>
    <w:p>
      <w:pPr>
        <w:pStyle w:val="BodyText"/>
      </w:pPr>
      <w:r>
        <w:t xml:space="preserve">К примеру, при рассмотрении уголовных дел о преступлениях, связанных с причинением вреда работником организации при исполнении трудовых обязанностей, к участию в деле в качестве гражданского ответчика привлекается юридическое лицо, если при совершении преступления вред причинен источником повышенной опасности – владелец этого источника повышенной опасности.</w:t>
      </w:r>
    </w:p>
    <w:p>
      <w:pPr>
        <w:pStyle w:val="BodyText"/>
      </w:pPr>
      <w:r>
        <w:t xml:space="preserve">По делам о преступлениях, последствием которых явилась смерть человека, лицо, фактически понесшее расходы на погребение, вправе предъявить гражданский иск об их возмещении. При этом пособие на погребение в случае его выплаты не влияет на размер подлежащих возмещению расходов.</w:t>
      </w:r>
    </w:p>
    <w:p>
      <w:pPr>
        <w:pStyle w:val="BodyText"/>
      </w:pPr>
      <w:r>
        <w:t xml:space="preserve">Имущественный вред, причиненный непосредственно преступлением, но выходящий за рамки предъявленного подсудимому обвинения (расходы потерпевшего на лечение в связи с повреждением здоровья; расходы на погребение, когда последствием преступления являлась смерть человека; расходы по ремонту поврежденного имущества при проникновении в жилище и др.), подлежит доказыванию гражданским истцом путем представления суду соответствующих документов (квитанций об оплате, кассовых и товарных чеков и т.д.).</w:t>
      </w:r>
    </w:p>
    <w:p>
      <w:pPr>
        <w:pStyle w:val="BodyText"/>
      </w:pPr>
      <w:r>
        <w:t xml:space="preserve">Что касается компенсации морального вреда, то в данном случае гражданский иск может быть предъявлен по уголовному делу, когда такой вред причинен потерпевшему преступными действиями, нарушающими его личные неимущественные права (например, права на неприкосновенность жилища, частной жизни, личную и семейную тайну, авторские и смежные права) либо посягающими на принадлежащие ему нематериальные блага (жизнь, здоровье, достоинство личности и др.).</w:t>
      </w:r>
    </w:p>
    <w:p>
      <w:pPr>
        <w:pStyle w:val="BodyText"/>
      </w:pPr>
      <w:r>
        <w:t xml:space="preserve">Соответствующие положения закреплены в Постановлении Пленума Верховного Суда Российской Федерации № 23 «О практике рассмотрения судами гражданского иска по уголовным делам», принятом 13.10.2020.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http://kosino-uhtomski.mos.ru/presscenter/news/detail/9524777.html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Косино-Ухтомский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osino-uhtomski.mos.ru" TargetMode="External" /><Relationship Type="http://schemas.openxmlformats.org/officeDocument/2006/relationships/hyperlink" Id="rId20" Target="http://kosino-uhtomski.mos.ru/presscenter/news/detail/952477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osino-uhtomski.mos.ru" TargetMode="External" /><Relationship Type="http://schemas.openxmlformats.org/officeDocument/2006/relationships/hyperlink" Id="rId20" Target="http://kosino-uhtomski.mos.ru/presscenter/news/detail/952477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2025-05-12T08:51:55Z</dcterms:created>
  <dcterms:modified xsi:type="dcterms:W3CDTF">2025-05-12T08:51:55Z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