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2d6f1f797ddcd9900dbe6910cd1abc46932e8"/>
    <w:p>
      <w:pPr>
        <w:pStyle w:val="Heading3"/>
      </w:pPr>
      <w:r>
        <w:t xml:space="preserve">Прекращение трудового договора о дистанционной работе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Трудовым кодексом Российской Федерации предусмотрены специальные нормы, регулирующие порядок расторжения трудового договора о дистанционной работе по инициативе работодателя.</w:t>
      </w:r>
    </w:p>
    <w:p>
      <w:pPr>
        <w:pStyle w:val="BodyText"/>
      </w:pPr>
      <w:r>
        <w:t xml:space="preserve">Статьей 312.5 Трудового кодекса Российской Федерации предусмотрено, что расторжение трудового договора о дистанционной работе по инициативе работодателя производится по основаниям, предусмотренным трудовым договором.</w:t>
      </w:r>
    </w:p>
    <w:p>
      <w:pPr>
        <w:pStyle w:val="BodyText"/>
      </w:pPr>
      <w:r>
        <w:t xml:space="preserve">В качестве таких оснований могут быть указаны допущенные работником нарушения такие как: несвоевременная сдача отчетности, невыполнение плана и т.д.</w:t>
      </w:r>
    </w:p>
    <w:p>
      <w:pPr>
        <w:pStyle w:val="BodyText"/>
      </w:pPr>
      <w:r>
        <w:t xml:space="preserve">При этом, увольнение по указанной статье не является мерой дисциплинарного взыскания.</w:t>
      </w:r>
    </w:p>
    <w:p>
      <w:pPr>
        <w:pStyle w:val="BodyText"/>
      </w:pPr>
      <w:r>
        <w:t xml:space="preserve">Таким образом, к таким правоотношениям не применяются положения о привлечении к дисциплинарной ответственности, установленные статьей 193 Трудового кодекса Российской Федерации, а только нормы, предусматривающие увольнение по специальному дополнительному основанию, предусмотренному статьей 312.5 Трудового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2025-05-24T05:05:47Z</dcterms:created>
  <dcterms:modified xsi:type="dcterms:W3CDTF">2025-05-24T05:05:47Z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