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a136876de3530f1b070f9192275b199c93c1"/>
    <w:p>
      <w:pPr>
        <w:pStyle w:val="Heading3"/>
      </w:pPr>
      <w:r>
        <w:t xml:space="preserve">В одном из дворов района Косино-Ухтомский привели в порядок асфальтовое покрытие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t xml:space="preserve">Сотрудники ГБУ «Жилищник района Косино-Ухтомский» отремонтировали асфальтовое покрытие дороги у бордюров между домами 14 и 16 на улице Святоозерская.</w:t>
      </w:r>
    </w:p>
    <w:p>
      <w:pPr>
        <w:pStyle w:val="BodyText"/>
      </w:pPr>
      <w:r>
        <w:t xml:space="preserve">Ремонтные работы выполнили по обращениям жителей, которые поступили в ходе очередного субботнего обхода территории.</w:t>
      </w:r>
    </w:p>
    <w:p>
      <w:pPr>
        <w:pStyle w:val="BodyText"/>
      </w:pPr>
      <w:r>
        <w:t xml:space="preserve">Напомним, принять участие в обходах могут все желающие. В ходе таких встреч у жителей появляется возможность напрямую обратиться со своими проблемами к руководству района, представителям различных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http://kosino-uhtomski.mos.ru/presscenter/news/detail/9362890.html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6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6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2025-06-21T00:46:10Z</dcterms:created>
  <dcterms:modified xsi:type="dcterms:W3CDTF">2025-06-21T00:46:10Z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