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ection"/>
    <w:p>
      <w:pPr>
        <w:pStyle w:val="Heading3"/>
      </w:pPr>
      <w:r>
        <w:t xml:space="preserve">.</w:t>
      </w:r>
    </w:p>
    <w:p>
      <w:pPr>
        <w:pStyle w:val="FirstParagraph"/>
      </w:pPr>
      <w:r>
        <w:t xml:space="preserve">22.04.2020</w:t>
      </w:r>
    </w:p>
    <w:p>
      <w:pPr>
        <w:pStyle w:val="BodyText"/>
      </w:pPr>
      <w:r>
        <w:t xml:space="preserve">В случае потери близкого человека и необходимости организации похоронных мероприятий, внимательно изучите данные </w:t>
      </w:r>
      <w:hyperlink r:id="rId20">
        <w:r>
          <w:rPr>
            <w:rStyle w:val="Hyperlink"/>
          </w:rPr>
          <w:t xml:space="preserve">ИНСТРУКЦИИ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http://kosino-uhtomski.mos.ru/presscenter/news/detail/8852528.html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fb9/pokhorony_dlya-sai_ta-mos.ru_17.04_p_s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presscenter/news/detail/88525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fb9/pokhorony_dlya-sai_ta-mos.ru_17.04_p_s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presscenter/news/detail/88525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2025-06-07T14:30:43Z</dcterms:created>
  <dcterms:modified xsi:type="dcterms:W3CDTF">2025-06-07T14:30:43Z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