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9f18778d3e38e1700ef039605dc940209f66ac"/>
    <w:p>
      <w:pPr>
        <w:pStyle w:val="Heading3"/>
      </w:pPr>
      <w:r>
        <w:t xml:space="preserve">В 2016 году количество заключенных браков в Москве превысило в 2 раза число разводов</w:t>
      </w:r>
    </w:p>
    <w:p>
      <w:pPr>
        <w:pStyle w:val="FirstParagraph"/>
      </w:pPr>
      <w:r>
        <w:t xml:space="preserve">19.10.2016</w:t>
      </w:r>
    </w:p>
    <w:p>
      <w:pPr>
        <w:pStyle w:val="BodyText"/>
      </w:pPr>
      <w:r>
        <w:t xml:space="preserve">Столица оказалась на втором месте среди российских городов по индексу устойчивости семьи.</w:t>
      </w:r>
    </w:p>
    <w:p>
      <w:pPr>
        <w:pStyle w:val="BodyText"/>
      </w:pPr>
      <w:r>
        <w:t xml:space="preserve">Согласно августовской статистике Управления ЗАГС по столице, Москва занимает одну из лидирующих позиций среди мегаполисов России по индексу устойчивости семьи – он равен 2,1. К примеру, в Санкт-Петербурге соотношение количества браков к их расторжению за первые 7 месяцев 2016 года составило 1,8. По данным Росстата, самый высокий индекс устойчивости института семьи (2,3) наблюдается в Северо-Кавказском федеральном округе, тогда как минимальный индекс устойчивости семьи зафиксирован в Дальневосточном и Южном федеральных округах.</w:t>
      </w:r>
    </w:p>
    <w:p>
      <w:pPr>
        <w:pStyle w:val="BodyText"/>
      </w:pPr>
      <w:r>
        <w:t xml:space="preserve">По мнению экспертов «Аналитического центра», высокий индекс устойчивости семьи в Москве объясняется с экономической точки зрения. Создание семьи и рождение детей требуют материальных затрат. В большинстве случаев, люди вступают в брак, когда могут обеспечить и себе и своему партнеру достойный уровень жизни, а средняя заработная плата в Москве выросла с начала года на 8,1 %.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http://kosino-uhtomski.mos.ru/presscenter/news/detail/3993317.html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39933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39933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2025-04-03T03:09:10Z</dcterms:created>
  <dcterms:modified xsi:type="dcterms:W3CDTF">2025-04-03T03:09:10Z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