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d92be67c12407ef81bf5f307bd563c653cf31"/>
    <w:p>
      <w:pPr>
        <w:pStyle w:val="Heading3"/>
      </w:pPr>
      <w:r>
        <w:t xml:space="preserve">Подрядчикам поручат реконструировать главные фонтаны ВДНХ</w:t>
      </w:r>
    </w:p>
    <w:p>
      <w:pPr>
        <w:pStyle w:val="FirstParagraph"/>
      </w:pPr>
      <w:r>
        <w:t xml:space="preserve">17.10.2016</w:t>
      </w:r>
    </w:p>
    <w:p>
      <w:pPr>
        <w:pStyle w:val="BodyText"/>
      </w:pPr>
      <w:r>
        <w:drawing>
          <wp:inline>
            <wp:extent cx="4102100" cy="273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5ce/fontan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0" cy="273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информации портала государственных закупок столицы, сейчас организованы сразу 4 тендера в поисках подрядчика. Реконструировать предстоит самые важные фонтаны Главной выставки страны – «Каменный цветок», «Дружба народов», «Золотой колос».</w:t>
      </w:r>
    </w:p>
    <w:p>
      <w:pPr>
        <w:pStyle w:val="BodyText"/>
      </w:pPr>
      <w:r>
        <w:t xml:space="preserve">Подрядчик должен разработать научно-проектную документацию капремонта объектов, учитывая, что нужно сохранить их архитектурный облик. Все упомянутые фонтаны являются объектами культурного наследия.</w:t>
      </w:r>
    </w:p>
    <w:p>
      <w:pPr>
        <w:pStyle w:val="BodyText"/>
      </w:pPr>
      <w:r>
        <w:t xml:space="preserve">Также необходимо отреставрировать гидроизоляцию технических помещений, чаш фонтанов и переходных галерей.</w:t>
      </w:r>
    </w:p>
    <w:p>
      <w:pPr>
        <w:pStyle w:val="BodyText"/>
      </w:pPr>
      <w:r>
        <w:t xml:space="preserve">Крайний срок разработки проекта – июль следующего года. С подрядчиком заключат контракт на сумму порядка 106 млн. руб.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http://kosino-uhtomski.mos.ru/presscenter/news/detail/3977653.html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77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977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2025-05-16T00:26:28Z</dcterms:created>
  <dcterms:modified xsi:type="dcterms:W3CDTF">2025-05-16T00:26:28Z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