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e730e1de4edc71cb2435824ad6b4487ed30945"/>
    <w:p>
      <w:pPr>
        <w:pStyle w:val="Heading3"/>
      </w:pPr>
      <w:r>
        <w:t xml:space="preserve">Коммунальные службы проводят реструктуризацию долгов за ЖКУ</w:t>
      </w:r>
    </w:p>
    <w:p>
      <w:pPr>
        <w:pStyle w:val="FirstParagraph"/>
      </w:pPr>
      <w:r>
        <w:t xml:space="preserve">29.09.2016</w:t>
      </w:r>
    </w:p>
    <w:p>
      <w:pPr>
        <w:pStyle w:val="BodyText"/>
      </w:pPr>
      <w:r>
        <w:drawing>
          <wp:inline>
            <wp:extent cx="5334000" cy="35471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867/upr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1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Должники недоплатили управляющим компаниям более 140 млн. рублей.</w:t>
      </w:r>
    </w:p>
    <w:p>
      <w:pPr>
        <w:pStyle w:val="BodyText"/>
      </w:pPr>
      <w:r>
        <w:t xml:space="preserve">В целом по району растет задолженность за тепло, воду и содержание общего домового имущества. В некоторых домах долг достигает двух-трех миллионов рублей. Коммунальные службы вынуждены погашать задолженность перед ресурсоснабжающими организациями за счет собственных средств.</w:t>
      </w:r>
    </w:p>
    <w:p>
      <w:pPr>
        <w:pStyle w:val="BodyText"/>
      </w:pPr>
      <w:r>
        <w:t xml:space="preserve">«Жилищник» района Косино-Ухтомский проводит досудебную работу с должниками. На начало сентября заключен 121 договор о реструктуризации долга на сумму, превышающую 6,2 млн. рублей. В досудебном порядке должники оплатили задолженность за жилищно-коммунальные услуги почти на 1 млн. рублей.</w:t>
      </w:r>
    </w:p>
    <w:p>
      <w:pPr>
        <w:pStyle w:val="BodyText"/>
      </w:pPr>
      <w:r>
        <w:t xml:space="preserve">Жители, неаккуратно оплачивающие жилищно-коммунальные услуги, мешают управляющим организациям проводить благоустройство и ремонт подъездов, потому что все эти работы оплачиваются за счет средств содержания общего домового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http://kosino-uhtomski.mos.ru/presscenter/news/detail/3846537.html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6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846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2025-01-06T11:43:15Z</dcterms:created>
  <dcterms:modified xsi:type="dcterms:W3CDTF">2025-01-06T11:43:15Z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