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bf5d7e79519dafeb0a23bdf8fd17b9e05a988"/>
    <w:p>
      <w:pPr>
        <w:pStyle w:val="Heading3"/>
      </w:pPr>
      <w:r>
        <w:t xml:space="preserve">Москвичи стали чаще пользоваться услугами социального такси</w:t>
      </w:r>
    </w:p>
    <w:p>
      <w:pPr>
        <w:pStyle w:val="FirstParagraph"/>
      </w:pPr>
      <w:r>
        <w:t xml:space="preserve">27.07.2016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bf/sotsialnoe-tak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начала года социальным такси воспользовались 200 тысяч горожан, что на 4% больше, чем за аналогичный период прошлого года.</w:t>
      </w:r>
    </w:p>
    <w:p>
      <w:pPr>
        <w:pStyle w:val="BodyText"/>
      </w:pPr>
      <w:r>
        <w:t xml:space="preserve">По словам директора службы организации соцперевозок ГУП «Мосгортранс» И.Филипповой, автопарк социального такси насчитывает 150 автобусов и машин. Все водители проходят спецподготовку для работы с маолмобильными гражданами, а автопарк регулярно пополняется.</w:t>
      </w:r>
    </w:p>
    <w:p>
      <w:pPr>
        <w:pStyle w:val="BodyText"/>
      </w:pPr>
      <w:r>
        <w:t xml:space="preserve">Соцтакси предназначено для следующих льготных категорий горожан, зарегистрированных по месту жительства в Москве: инвалиды 1-ой группы, инвалиды 2-ой и 3-ей группы с нарушениями функций опорно-двигательной системы, а также с нарушениями зрения. Также услугами социального такси могут воспользоваться дети-инвалиды, инвалиды и ветераны ВОВ, инвалиды, находящиеся на обслуживании государственного объединения «Московский дом ветеранов войн и вооруженных сил», члены многодетных семей, при условии, если семья живет в малоэтажном жилищном фонде столицы.</w:t>
      </w:r>
    </w:p>
    <w:p>
      <w:pPr>
        <w:pStyle w:val="BodyText"/>
      </w:pPr>
      <w:r>
        <w:t xml:space="preserve">Стоимость услуги для маломобильных пассажиров за 1 час поездки в пределах столицы составляет 210 руб., а по Подмосковью — 420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http://kosino-uhtomski.mos.ru/presscenter/news/detail/3422982.html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22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22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2023-09-14T18:57:19Z</dcterms:created>
  <dcterms:modified xsi:type="dcterms:W3CDTF">2023-09-14T18:57:19Z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