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fe0318965d928874f736b4ae8b83928ba7cd3d"/>
    <w:p>
      <w:pPr>
        <w:pStyle w:val="Heading3"/>
      </w:pPr>
      <w:r>
        <w:t xml:space="preserve">В Метрогородке управляющая организация, чтобы избежать штрафа, поспешила устранить нарушение</w:t>
      </w:r>
    </w:p>
    <w:p>
      <w:pPr>
        <w:pStyle w:val="FirstParagraph"/>
      </w:pPr>
      <w:r>
        <w:t xml:space="preserve">22.07.2016</w:t>
      </w:r>
    </w:p>
    <w:p>
      <w:pPr>
        <w:pStyle w:val="BodyText"/>
      </w:pPr>
      <w:r>
        <w:drawing>
          <wp:inline>
            <wp:extent cx="1524000" cy="1219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071/gb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жалобой на неудовлетворительное содержание общедомового имущества в Мосжилинспекцию обратился житель дома 21 корпус 12 по Открытому шоссе.</w:t>
      </w:r>
    </w:p>
    <w:p>
      <w:pPr>
        <w:pStyle w:val="BodyText"/>
      </w:pPr>
      <w:r>
        <w:t xml:space="preserve">Управляющая организация при подготовке дома к весенне-летней эксплуатации окрасила дверь 2-го подъезда только снаружи. При этом рабочие не удосужились подготовить дверь к окраске и нанесли свежий слой краски на растрескавшуюся поверхность вместе с остатками объявлений.</w:t>
      </w:r>
    </w:p>
    <w:p>
      <w:pPr>
        <w:pStyle w:val="BodyText"/>
      </w:pPr>
      <w:r>
        <w:t xml:space="preserve">Инспекторы, выйдя на проверку, увидели обезображенную дверь. Как выяснилось, ГБУ "Жилищник района Метрогородок", узнав о жалобе, поспешило исправить недочет. Рабочие с помощью обжига удаляли застарелые отслоения. Тем не менее управляющая организация получила предписание Мосжилинспекции, которое досрочно выполнила. Буквально на следующий день дверь стояла уже как новая, была ровно окрашена с двух сторон.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http://kosino-uhtomski.mos.ru/presscenter/news/detail/3392501.html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392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392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2024-09-10T21:20:13Z</dcterms:created>
  <dcterms:modified xsi:type="dcterms:W3CDTF">2024-09-10T21:20:13Z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