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6aff6eb9d1cd40d53f3ecb3fc95db8146f6698"/>
    <w:p>
      <w:pPr>
        <w:pStyle w:val="Heading3"/>
      </w:pPr>
      <w:r>
        <w:t xml:space="preserve">По промзонам Москвы утвердили проекты планировки территорий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t xml:space="preserve">Их комплексное развитие позволит сместить часть деловой активности из центра города, сообщает пресс-служба мэрии.</w:t>
      </w:r>
      <w:r>
        <w:br/>
      </w:r>
    </w:p>
    <w:p>
      <w:pPr>
        <w:pStyle w:val="BodyText"/>
      </w:pPr>
      <w:r>
        <w:t xml:space="preserve">По 22 промышленно-коммунальным зонам столицы утверждено 39 проектов планировки территорий. Об этом на</w:t>
      </w:r>
      <w:r>
        <w:t xml:space="preserve"> </w:t>
      </w:r>
      <w:hyperlink r:id="rId20">
        <w:r>
          <w:rPr>
            <w:rStyle w:val="Hyperlink"/>
          </w:rPr>
          <w:t xml:space="preserve">Московском урбанистическом форуме</w:t>
        </w:r>
      </w:hyperlink>
      <w:r>
        <w:t xml:space="preserve"> </w:t>
      </w:r>
      <w:r>
        <w:t xml:space="preserve">сообщил заммэра столицы по вопросам градостроительной политики и строительства</w:t>
      </w:r>
      <w:r>
        <w:t xml:space="preserve"> </w:t>
      </w:r>
      <w:hyperlink r:id="rId21">
        <w:r>
          <w:rPr>
            <w:rStyle w:val="Hyperlink"/>
          </w:rPr>
          <w:t xml:space="preserve">Марат Хуснуллин</w:t>
        </w:r>
      </w:hyperlink>
      <w:r>
        <w:t xml:space="preserve">.</w:t>
      </w:r>
    </w:p>
    <w:p>
      <w:pPr>
        <w:pStyle w:val="BodyText"/>
      </w:pPr>
      <w:r>
        <w:t xml:space="preserve">По его словам, комплексное развитие этих территорий позволит сместить часть деловой активности из центра города и перенаправить транспортные потоки. Он также подчеркнул, что общая площадь промзон в Москве составляет примерно 18,8 тысячи гектаров. Полностью или частично можно реорганизовать 13 тысяч гектаров. На остальных сохранится производство.</w:t>
      </w:r>
    </w:p>
    <w:p>
      <w:pPr>
        <w:pStyle w:val="BodyText"/>
      </w:pPr>
      <w:r>
        <w:t xml:space="preserve">«Наша задача при реорганизации промзон — сформировать комплексную городскую застройку, где есть и рабочие места, и жилье, и объекты социальной сферы», — отметил Марат Хуснуллин.</w:t>
      </w:r>
    </w:p>
    <w:p>
      <w:pPr>
        <w:pStyle w:val="BodyText"/>
      </w:pPr>
      <w:r>
        <w:t xml:space="preserve">Это сможет улучшить дорожную ситуацию — многие горожане получат возможность работать рядом с домом.</w:t>
      </w:r>
    </w:p>
    <w:p>
      <w:pPr>
        <w:pStyle w:val="BodyText"/>
      </w:pPr>
      <w:r>
        <w:t xml:space="preserve">В настоящее время ведётся строительство на более чем 20 бывших промышленных площадках. Среди них «ЗИЛ», «Серп и молот», территория бывшего Тушинского аэродрома.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http://kosino-uhtomski.mos.ru/presscenter/news/detail/3288946.html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3288946.html" TargetMode="External" /><Relationship Type="http://schemas.openxmlformats.org/officeDocument/2006/relationships/hyperlink" Id="rId21" Target="https://www.mos.ru/authority/structure/11491090/person/19157093" TargetMode="External" /><Relationship Type="http://schemas.openxmlformats.org/officeDocument/2006/relationships/hyperlink" Id="rId20" Target="https://www.mos.ru/city/projects/urbanforu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3288946.html" TargetMode="External" /><Relationship Type="http://schemas.openxmlformats.org/officeDocument/2006/relationships/hyperlink" Id="rId21" Target="https://www.mos.ru/authority/structure/11491090/person/19157093" TargetMode="External" /><Relationship Type="http://schemas.openxmlformats.org/officeDocument/2006/relationships/hyperlink" Id="rId20" Target="https://www.mos.ru/city/projects/urbanforu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2025-05-10T22:38:45Z</dcterms:created>
  <dcterms:modified xsi:type="dcterms:W3CDTF">2025-05-10T22:38:45Z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