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ad431381d2075647abbbb5868e70a4e83a8ad"/>
    <w:p>
      <w:pPr>
        <w:pStyle w:val="Heading3"/>
      </w:pPr>
      <w:r>
        <w:t xml:space="preserve">С 1 июня 2016 произойдет смена платежных реквизитов при оплате услуг ЖКХ</w:t>
      </w:r>
    </w:p>
    <w:p>
      <w:pPr>
        <w:pStyle w:val="FirstParagraph"/>
      </w:pPr>
      <w:r>
        <w:t xml:space="preserve">27.04.2016</w:t>
      </w:r>
    </w:p>
    <w:p>
      <w:pPr>
        <w:pStyle w:val="BodyText"/>
      </w:pPr>
      <w:r>
        <w:t xml:space="preserve">С 10.05.2016 функции финансового оператора системы ЕИРЦ будут переданы от ОАО «Банк Москвы» в Банк ВТБ.</w:t>
      </w:r>
    </w:p>
    <w:p>
      <w:pPr>
        <w:pStyle w:val="BodyText"/>
      </w:pPr>
      <w:r>
        <w:t xml:space="preserve">Таким образом, к ВТБ перейдут права и обязанности, в частности, по многосторонним договорам об организации расчетов и об информационном взаимодействии в системе ЕИРЦ (далее – Договоры системы ЕИРЦ), их исполнение будет осуществляться ВТБ.</w:t>
      </w:r>
    </w:p>
    <w:p>
      <w:pPr>
        <w:pStyle w:val="BodyText"/>
      </w:pPr>
      <w:r>
        <w:t xml:space="preserve">ОАО «Банк Москвы» информирует о новых реквизитах, которые будут использованы в системе ЕИРЦ:</w:t>
      </w:r>
    </w:p>
    <w:p>
      <w:pPr>
        <w:pStyle w:val="BodyText"/>
      </w:pPr>
      <w:r>
        <w:t xml:space="preserve">наименование – филиал «Центральный» Банка ВТБ (ПАО);</w:t>
      </w:r>
    </w:p>
    <w:p>
      <w:pPr>
        <w:pStyle w:val="BodyText"/>
      </w:pPr>
      <w:r>
        <w:t xml:space="preserve">номер корреспондентского счета – 30101810145250000411;</w:t>
      </w:r>
    </w:p>
    <w:p>
      <w:pPr>
        <w:pStyle w:val="BodyText"/>
      </w:pPr>
      <w:r>
        <w:t xml:space="preserve">номер банковского идентификационного кода (БИК) – 044525411;</w:t>
      </w:r>
    </w:p>
    <w:p>
      <w:pPr>
        <w:pStyle w:val="BodyText"/>
      </w:pPr>
      <w:r>
        <w:t xml:space="preserve">идентификационный номер налогоплательщика (ИНН) – 7702070139.</w:t>
      </w:r>
    </w:p>
    <w:p>
      <w:pPr>
        <w:pStyle w:val="BodyText"/>
      </w:pPr>
      <w:r>
        <w:t xml:space="preserve">Изменение реквизитов не потребует изменения текущей нумерации счетов по сбору платежей за жилищно-коммунальные услуги.</w:t>
      </w:r>
    </w:p>
    <w:p>
      <w:pPr>
        <w:pStyle w:val="BodyText"/>
      </w:pPr>
      <w:r>
        <w:t xml:space="preserve">Таким образом, с июня 2016 г. в Едином платежном документе будут изменены в строке «Счет по сбору платежей за ЖКУ и прочие услуги района (название района):</w:t>
      </w:r>
    </w:p>
    <w:p>
      <w:pPr>
        <w:pStyle w:val="BodyText"/>
      </w:pPr>
      <w:r>
        <w:rPr>
          <w:u w:val="single"/>
        </w:rPr>
        <w:t xml:space="preserve">наименование банка</w:t>
      </w:r>
      <w:r>
        <w:t xml:space="preserve"> </w:t>
      </w:r>
      <w:r>
        <w:t xml:space="preserve">- филиал «Центральный» Банка ВТБ (ПАО) - вместо ОАО «Банк Москвы»,</w:t>
      </w:r>
      <w:r>
        <w:t xml:space="preserve"> </w:t>
      </w:r>
      <w:r>
        <w:rPr>
          <w:u w:val="single"/>
        </w:rPr>
        <w:t xml:space="preserve">ИНН, к/счет</w:t>
      </w:r>
      <w:r>
        <w:t xml:space="preserve">,</w:t>
      </w:r>
      <w:r>
        <w:t xml:space="preserve"> </w:t>
      </w:r>
      <w:r>
        <w:rPr>
          <w:u w:val="single"/>
        </w:rPr>
        <w:t xml:space="preserve">БИК»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http://kosino-uhtomski.mos.ru/presscenter/news/detail/2860582.html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2860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2860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2025-05-18T11:03:46Z</dcterms:created>
  <dcterms:modified xsi:type="dcterms:W3CDTF">2025-05-18T11:03:46Z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