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8dd87016d7c1a030420e513f3bab820e4dad3"/>
    <w:p>
      <w:pPr>
        <w:pStyle w:val="Heading3"/>
      </w:pPr>
      <w:r>
        <w:t xml:space="preserve">ГЗК Москвы отклонила проект многоэтажной застройки Рублево-Успенской территории по просьбе жителей</w:t>
      </w:r>
    </w:p>
    <w:p>
      <w:pPr>
        <w:pStyle w:val="FirstParagraph"/>
      </w:pPr>
      <w:r>
        <w:t xml:space="preserve">24.12.2015</w:t>
      </w:r>
    </w:p>
    <w:p>
      <w:pPr>
        <w:pStyle w:val="BodyText"/>
      </w:pPr>
      <w:r>
        <w:drawing>
          <wp:inline>
            <wp:extent cx="609600" cy="4053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09b/62996_200_a3bac57951a675d1dd4a3c9636b22d2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053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Сергей Собянин, мэр Москвы, на очередном заседании Градостроительно-земельной комиссии принял решение о перспективах развития территории Рублево-Успенское, расположенной в районе Ильинского шоссе и входящей в состав Москвы с 2012 года.</w:t>
      </w:r>
    </w:p>
    <w:p>
      <w:pPr>
        <w:pStyle w:val="BodyText"/>
      </w:pPr>
      <w:r>
        <w:t xml:space="preserve">В связи с многочисленными жалобами местных жителей власти Москвы решили отказаться от строительства на данной территории многоквартирных жилых домов, а вместо этого разрешить строительство малоэтажных домов индивидуальной застройки. Градостроительно-земельная комиссия приняла во внимание обращения жителей столицы, которые предлагали снизить общие планируемые объемы застройки данной территории.</w:t>
      </w:r>
    </w:p>
    <w:p>
      <w:pPr>
        <w:pStyle w:val="BodyText"/>
      </w:pPr>
      <w:r>
        <w:t xml:space="preserve">Помимо этого, было решено сохранить общую долю природных территорий в составе Рублево-Успенского в размере около 50%. Соответствующее поручение о внесении изменений в проект Генплана столицы было дано ГЗК под руководством градоначальника Сергея Собянина.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http://kosino-uhtomski.mos.ru/presscenter/news/detail/2402922.html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402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402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2024-08-14T20:53:29Z</dcterms:created>
  <dcterms:modified xsi:type="dcterms:W3CDTF">2024-08-14T20:53:29Z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