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61515e4136d69ef322c70680c542198d24635"/>
    <w:p>
      <w:pPr>
        <w:pStyle w:val="Heading3"/>
      </w:pPr>
      <w:r>
        <w:t xml:space="preserve">В «зеленых зонах» Москвы появятся аттракционы, спортивные площадки и кафе</w:t>
      </w:r>
    </w:p>
    <w:p>
      <w:pPr>
        <w:pStyle w:val="FirstParagraph"/>
      </w:pPr>
      <w:r>
        <w:t xml:space="preserve">21.10.2015</w:t>
      </w:r>
    </w:p>
    <w:p>
      <w:pPr>
        <w:pStyle w:val="BodyText"/>
      </w:pPr>
      <w:r>
        <w:drawing>
          <wp:inline>
            <wp:extent cx="5334000" cy="35040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f4/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40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Столичные власти выставят на торги участки «зеленых зон» Москвы под строительство мини-футбольных полей, аттракционов и кафе.</w:t>
      </w:r>
    </w:p>
    <w:p>
      <w:pPr>
        <w:pStyle w:val="BodyText"/>
      </w:pPr>
      <w:r>
        <w:t xml:space="preserve">«В «зеленых зонах» могут появиться парки аттракционов, спортивные площадки: к примеру, мини-футбольное поле, теннисные корты. Сейчас прорабатывается несколько проектов в разных зонах города», - рассказал Леонид Кострома, глава ГБУ «Городское агентство управления инвестициями».</w:t>
      </w:r>
    </w:p>
    <w:p>
      <w:pPr>
        <w:pStyle w:val="BodyText"/>
      </w:pPr>
      <w:r>
        <w:t xml:space="preserve">Отметим, что по новым правилам контракт с частными инвесторами можно заключать не на 5 лет, как раньше, а на 15 лет, что позволяет инвесторам полностью окупить вложенные средства.</w:t>
      </w:r>
    </w:p>
    <w:p>
      <w:pPr>
        <w:pStyle w:val="BodyText"/>
      </w:pPr>
      <w:r>
        <w:t xml:space="preserve">Напомним, что за последние 5 лет в Москве было благоустроено порядка 400 парков.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http://kosino-uhtomski.mos.ru/presscenter/news/detail/2244825.html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244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244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2023-08-10T16:24:08Z</dcterms:created>
  <dcterms:modified xsi:type="dcterms:W3CDTF">2023-08-10T16:24:08Z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