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7d8ce0c1d12c7920e74ad5725b7000a261a6b"/>
    <w:p>
      <w:pPr>
        <w:pStyle w:val="Heading3"/>
      </w:pPr>
      <w:r>
        <w:t xml:space="preserve">В Москве выросла средняя продолжительность жизни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cb/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2015 год средняя продолжительность жизни составила 77 лет, а это означает, что москвичи стали жить на 3 года дольше.</w:t>
      </w:r>
    </w:p>
    <w:p>
      <w:pPr>
        <w:pStyle w:val="BodyText"/>
      </w:pPr>
      <w:r>
        <w:t xml:space="preserve">«Продолжительность жизни в Москве выше, чем в других регионах страны, почти на 6 лет. Показатели смертности и рождаемости населения находятся на уровне стран Восточной и Западной Европы», - рассказал Леонид Печатников, заммэра по вопросам социального развития.</w:t>
      </w:r>
    </w:p>
    <w:p>
      <w:pPr>
        <w:pStyle w:val="BodyText"/>
      </w:pPr>
      <w:r>
        <w:t xml:space="preserve">Отметим, что в Восточном округе, прежде всего в Косино-Ухтомоском, Восточном районах и в Новокосине, показатели смертности еще ниже, чем в среднем по городу. А еще в Новокосине и Косино-Ухтомском одни из самых высоких показателей рождаемости.</w:t>
      </w:r>
    </w:p>
    <w:p>
      <w:pPr>
        <w:pStyle w:val="BodyText"/>
      </w:pPr>
      <w:r>
        <w:t xml:space="preserve">Таких высоких результатов удалось добиться в Москве благодаря модернизации системы здравоохранения, прежде всего развитию так называемой «инфарктной сети».</w:t>
      </w:r>
    </w:p>
    <w:p>
      <w:pPr>
        <w:pStyle w:val="BodyText"/>
      </w:pPr>
      <w:r>
        <w:t xml:space="preserve">Так, в 2014 г. было организовано 28 сосудистых центров на базе московских больниц, в которых больным с острым инфарктом миокарда оказывают неотложную медицинскую помощь. Это позволило снизить смертность от инфарктов с 25 до 8%, т.е. в 3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http://kosino-uhtomski.mos.ru/presscenter/news/detail/2193653.html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93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93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2025-03-03T06:35:45Z</dcterms:created>
  <dcterms:modified xsi:type="dcterms:W3CDTF">2025-03-03T06:35:45Z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