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fd7d120cbc96a4f58b65f0939a9549ebb7a86"/>
    <w:p>
      <w:pPr>
        <w:pStyle w:val="Heading3"/>
      </w:pPr>
      <w:r>
        <w:t xml:space="preserve">Московские высоковольтные сети — филиала ПАО «Россети Московский регион» сообщают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Московские высоковольтные сети — филиала ПАО «Россети Московский регион» сообщают Вам, что по территориям парков, скверов и зон отдыха Восточного административного округа г. Москвы проходят воздушные линии электропередачи напряжением 110-220кВ.</w:t>
      </w:r>
    </w:p>
    <w:p>
      <w:pPr>
        <w:pStyle w:val="BodyText"/>
      </w:pPr>
      <w:r>
        <w:t xml:space="preserve">За последнее время неоднократно фиксировались аварийные отключения воздушных линий электропередачи 110-220кВ, связанные с запуском воздушных шаров и фейерверков в сторону ЛЭП или непосредственно под проводами.</w:t>
      </w:r>
    </w:p>
    <w:p>
      <w:pPr>
        <w:pStyle w:val="BodyText"/>
      </w:pPr>
      <w:r>
        <w:t xml:space="preserve">Во избежание аварийных отключений воздушных линий электропередачи 110- 220кВ и несчастных случаев с людьми, запрещается запуск воздушных шаров и фейерверков в местах прохождения воздушных линий с большим скоплением людей.</w:t>
      </w:r>
    </w:p>
    <w:p>
      <w:pPr>
        <w:pStyle w:val="BodyText"/>
      </w:pPr>
      <w:r>
        <w:t xml:space="preserve">Несоблюдение требований действующего законодательства (ПП РФ от 24.02.2009г. № 160) может повлечь за собой причинение вреда жизни и здоровью людей, повреждение или уничтожение имущества, либо создать угрозу наступления таких последствий, что может привести к нарушению электроснабжения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http://kosino-uhtomski.mos.ru/presscenter/news/detail/12631154.html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631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631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2025-08-05T15:53:20Z</dcterms:created>
  <dcterms:modified xsi:type="dcterms:W3CDTF">2025-08-05T15:53:20Z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