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плата-взносов-за-коммунальные-платежи"/>
    <w:p>
      <w:pPr>
        <w:pStyle w:val="Heading3"/>
      </w:pPr>
      <w:r>
        <w:t xml:space="preserve">Оплата взносов за Коммунальные платежи</w:t>
      </w:r>
    </w:p>
    <w:p>
      <w:pPr>
        <w:pStyle w:val="FirstParagraph"/>
      </w:pPr>
      <w:r>
        <w:t xml:space="preserve">12.02.2024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4df/v4vnbk9jzpg63m9rplaui3hs02rrporl/Informatsionnyy_list_dlya_razmeshcheniya_na_podezdakh_stendakh_saytakh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http://kosino-uhtomski.mos.ru/presscenter/news/detail/12160615.html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160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160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2024-02-12T10:11:20Z</dcterms:created>
  <dcterms:modified xsi:type="dcterms:W3CDTF">2024-02-12T10:11:20Z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