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f1fa90758a01f056999b9ac648be2ab9a6dfa"/>
    <w:p>
      <w:pPr>
        <w:pStyle w:val="Heading3"/>
      </w:pPr>
      <w:r>
        <w:t xml:space="preserve">Мосжилинспекция привлекла к административной ответственности управляющую организацию из-за повреждения трубопровода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было проведено обследование дома 15 по Главной улице (район Восточный), в ходе которого выявлены замачивание стен лестничной клетки подъезда 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Инспекцией установлено, что замачивание происходило из-за негерметичности трубопровода инженерных коммуникаций, проходящего скрыто, в стене.</w:t>
      </w:r>
    </w:p>
    <w:p>
      <w:pPr>
        <w:pStyle w:val="BodyText"/>
      </w:pPr>
      <w:r>
        <w:t xml:space="preserve">Управляющая организация и ее руководитель привлечены Инспекцией к административной ответственности. По результатам проведенного обследования управляющей организацией выполнены работы по вскрытию стены, замене поврежденного участка трубопровода, после чего выполнен ремонт стены с восстановлением окрасочного слоя.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http://kosino-uhtomski.mos.ru/housing-and-communal-services-and-improvement/news-the-moscow-state-residential-inspection/detail/7789731.html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789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789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2025-04-01T01:25:56Z</dcterms:created>
  <dcterms:modified xsi:type="dcterms:W3CDTF">2025-04-01T01:25:56Z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