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e98bd10ee5e1be43bf15656abfab8151ba9d"/>
    <w:p>
      <w:pPr>
        <w:pStyle w:val="Heading3"/>
      </w:pPr>
      <w:r>
        <w:t xml:space="preserve">Мосжилинспекцией было возбуждено административное производство в отношении ГБУ «Жилищник района Богородское»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t xml:space="preserve">В ходе рассмотрения обращения, поступившего на портал «Наш Город», было установлено, что подъезд 1 дома 33 по Погонному проезду находился в неудовлетворительном техническом состоянии.</w:t>
      </w:r>
      <w:r>
        <w:br/>
      </w:r>
    </w:p>
    <w:p>
      <w:pPr>
        <w:pStyle w:val="BodyText"/>
      </w:pPr>
      <w:r>
        <w:t xml:space="preserve">По фактам выявленных нарушений Инспекцией было возбуждено административное производство в отношении ГБУ «Жилищник района Богородское» по ст. 7.22 Кодекса об административных правонарушениях Российской Федерации. Управляющей организацией проведены работы по устранению выявленных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http://kosino-uhtomski.mos.ru/housing-and-communal-services-and-improvement/news-the-moscow-state-residential-inspection/detail/7027947.html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27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27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2025-04-01T02:28:32Z</dcterms:created>
  <dcterms:modified xsi:type="dcterms:W3CDTF">2025-04-01T02:28:32Z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