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ec591788fc22fb4519f9b3dbb8bf0cdfa44798"/>
    <w:p>
      <w:pPr>
        <w:pStyle w:val="Heading3"/>
      </w:pPr>
      <w:r>
        <w:t xml:space="preserve">Соблюдение требований законодательства в части применения контрольно-кассовой техники в предприятиях общественного питания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листовка%20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листовка%202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листовка%203_page-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http://kosino-uhtomski.mos.ru/federalnaya-nalogovaya-sluzhba-rf/ofitsialnaya-informatsi/detail/12345310.html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federalnaya-nalogovaya-sluzhba-rf/ofitsialnaya-informatsi/detail/12345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federalnaya-nalogovaya-sluzhba-rf/ofitsialnaya-informatsi/detail/12345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2025-04-01T02:26:58Z</dcterms:created>
  <dcterms:modified xsi:type="dcterms:W3CDTF">2025-04-01T02:26:58Z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