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a0618ffad8717f4807dc3de3efa9b03ab4fc2"/>
    <w:p>
      <w:pPr>
        <w:pStyle w:val="Heading3"/>
      </w:pPr>
      <w:r>
        <w:t xml:space="preserve">На портале федеральной информационной адресной системы в информационно-телекоммуникационной сети «Интернет» в разделе «Статистика» размещаются файлы- статистики наполняемости ГАР кадастровыми номерами в разрезе субъекто</w:t>
      </w:r>
    </w:p>
    <w:p>
      <w:pPr>
        <w:pStyle w:val="FirstParagraph"/>
      </w:pPr>
      <w:r>
        <w:t xml:space="preserve">04.08.2023</w:t>
      </w:r>
    </w:p>
    <w:p>
      <w:pPr>
        <w:pStyle w:val="BodyText"/>
      </w:pPr>
      <w:r>
        <w:t xml:space="preserve">На портале федеральной информационной адресной системы в информационно-телекоммуникационной сети «Интернет» в разделе «Статистика» (https://fias.nalog.ru/Statistics#) размещаются файлы- статистики наполняемости ГАР кадастровыми номерами в разрезе субъектов Российской Федерации и муниципальных образований.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http://kosino-uhtomski.mos.ru/federalnaya-nalogovaya-sluzhba-rf/ofitsialnaya-informatsi/detail/11754659.html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1754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1754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2025-04-01T02:26:51Z</dcterms:created>
  <dcterms:modified xsi:type="dcterms:W3CDTF">2025-04-01T02:26:51Z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