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a342d88d3d68edd7976fa5f9a504dfc804a2b"/>
    <w:p>
      <w:pPr>
        <w:pStyle w:val="Heading3"/>
      </w:pPr>
      <w:r>
        <w:t xml:space="preserve">Уважаемые налогоплательщики! ИФНС России № 19 по г. Москве проводит онлайн-вебинары для налогоплательщиков</w:t>
      </w:r>
    </w:p>
    <w:p>
      <w:pPr>
        <w:pStyle w:val="FirstParagraph"/>
      </w:pPr>
      <w:r>
        <w:t xml:space="preserve">12.05.2023</w:t>
      </w:r>
    </w:p>
    <w:p>
      <w:pPr>
        <w:pStyle w:val="BodyText"/>
      </w:pPr>
      <w:r>
        <w:drawing>
          <wp:inline>
            <wp:extent cx="5334000" cy="51026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4c/9t0jiausj96fu0d6yaun3pwsvct9q363/fns_12.05.20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02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http://kosino-uhtomski.mos.ru/federalnaya-nalogovaya-sluzhba-rf/ofitsialnaya-informatsi/detail/11583106.html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5831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15831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2025-04-01T02:03:35Z</dcterms:created>
  <dcterms:modified xsi:type="dcterms:W3CDTF">2025-04-01T02:03:35Z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