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8e78e3a41cfd65653186a1fd608a738fdd196c"/>
    <w:p>
      <w:pPr>
        <w:pStyle w:val="Heading3"/>
      </w:pPr>
      <w:r>
        <w:t xml:space="preserve">Чат-бот "Помощник по ЕНС" поможет разобраться с жизненными ситуациями, связанными с введением Единого налогового счетао</w:t>
      </w:r>
    </w:p>
    <w:p>
      <w:pPr>
        <w:pStyle w:val="FirstParagraph"/>
      </w:pPr>
      <w:r>
        <w:t xml:space="preserve">16.03.2023</w:t>
      </w:r>
    </w:p>
    <w:p>
      <w:pPr>
        <w:pStyle w:val="BodyText"/>
      </w:pPr>
      <w:r>
        <w:drawing>
          <wp:inline>
            <wp:extent cx="5334000" cy="721109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39f/orv13shghqsx7e02633ukne4bhz85n8f/pomoshchnik-ENS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2110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http://kosino-uhtomski.mos.ru/federalnaya-nalogovaya-sluzhba-rf/ofitsialnaya-informatsi/detail/11469626.html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federalnaya-nalogovaya-sluzhba-rf/ofitsialnaya-informatsi/detail/114696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federalnaya-nalogovaya-sluzhba-rf/ofitsialnaya-informatsi/detail/114696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2025-04-01T02:03:20Z</dcterms:created>
  <dcterms:modified xsi:type="dcterms:W3CDTF">2025-04-01T02:03:20Z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