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dd9f1b0a3b89e8c1f7d94eb37756cbfa51e6d9"/>
    <w:p>
      <w:pPr>
        <w:pStyle w:val="Heading3"/>
      </w:pPr>
      <w:r>
        <w:t xml:space="preserve">Уважаемые плательщики! ИФНС России № 19 по г. Москве проводит онлайн-вебинары!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drawing>
          <wp:inline>
            <wp:extent cx="5334000" cy="34238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dd/m4m658x6ne06bmp672pfgv3038d7mqby/Bezymyannyy5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3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853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b0/fqu9c1sbp2rj3l0s1ytn3vqkb8xx3stp/Bezymyannyy57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53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http://kosino-uhtomski.mos.ru/federalnaya-nalogovaya-sluzhba-rf/ofitsialnaya-informatsi/detail/10922044.html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922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922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2025-04-01T02:02:29Z</dcterms:created>
  <dcterms:modified xsi:type="dcterms:W3CDTF">2025-04-01T02:02:29Z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