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ебинары-27-и-28-апреля"/>
    <w:p>
      <w:pPr>
        <w:pStyle w:val="Heading3"/>
      </w:pPr>
      <w:r>
        <w:t xml:space="preserve">Вебинары 27 и 28 апреля</w:t>
      </w:r>
    </w:p>
    <w:p>
      <w:pPr>
        <w:pStyle w:val="FirstParagraph"/>
      </w:pPr>
      <w:r>
        <w:t xml:space="preserve">20.04.2022</w:t>
      </w:r>
    </w:p>
    <w:p>
      <w:pPr>
        <w:pStyle w:val="BodyText"/>
      </w:pPr>
      <w:r>
        <w:drawing>
          <wp:inline>
            <wp:extent cx="5226517" cy="71900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3d/bezymyannyy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7190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139890" cy="71323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0c/bezymyannyy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890" cy="7132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http://kosino-uhtomski.mos.ru/federalnaya-nalogovaya-sluzhba-rf/ofitsialnaya-informatsi/detail/10763770.html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federalnaya-nalogovaya-sluzhba-rf/ofitsialnaya-informatsi/detail/10763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federalnaya-nalogovaya-sluzhba-rf/ofitsialnaya-informatsi/detail/10763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2025-04-01T02:02:22Z</dcterms:created>
  <dcterms:modified xsi:type="dcterms:W3CDTF">2025-04-01T02:02:22Z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