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бинары-для-налогоплательщиков"/>
    <w:p>
      <w:pPr>
        <w:pStyle w:val="Heading3"/>
      </w:pPr>
      <w:r>
        <w:t xml:space="preserve">Вебинары для налогоплательщиков</w:t>
      </w:r>
    </w:p>
    <w:p>
      <w:pPr>
        <w:pStyle w:val="FirstParagraph"/>
      </w:pPr>
      <w:r>
        <w:t xml:space="preserve">14.01.2022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http://kosino-uhtomski.mos.ru/federalnaya-nalogovaya-sluzhba-rf/ofitsialnaya-informatsi/detail/10547659.html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47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10547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2025-04-01T02:01:56Z</dcterms:created>
  <dcterms:modified xsi:type="dcterms:W3CDTF">2025-04-01T02:01:56Z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